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752EC" w14:textId="77777777" w:rsidR="00B200F6" w:rsidRPr="00B200F6" w:rsidRDefault="00B200F6" w:rsidP="00B200F6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center"/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</w:pPr>
      <w:r w:rsidRPr="00B200F6"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  <w:t>Conférence conjointe CCBE-</w:t>
      </w:r>
      <w:proofErr w:type="spellStart"/>
      <w:r w:rsidRPr="00B200F6"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  <w:t>FBE</w:t>
      </w:r>
      <w:proofErr w:type="spellEnd"/>
    </w:p>
    <w:p w14:paraId="0924DB24" w14:textId="77777777" w:rsidR="00B200F6" w:rsidRPr="00B200F6" w:rsidRDefault="00B200F6" w:rsidP="00B200F6">
      <w:pPr>
        <w:pBdr>
          <w:top w:val="single" w:sz="4" w:space="1" w:color="auto"/>
          <w:bottom w:val="single" w:sz="4" w:space="1" w:color="auto"/>
        </w:pBdr>
        <w:spacing w:after="60" w:line="240" w:lineRule="auto"/>
        <w:jc w:val="center"/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</w:pPr>
      <w:bookmarkStart w:id="0" w:name="_Hlk17884659"/>
      <w:r w:rsidRPr="00B200F6"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  <w:t>L’autorégulation et la qualité dans la profession d'avocat</w:t>
      </w:r>
    </w:p>
    <w:p w14:paraId="65F7986B" w14:textId="77777777" w:rsidR="00B200F6" w:rsidRPr="00B200F6" w:rsidRDefault="00B200F6" w:rsidP="00B200F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6"/>
          <w:szCs w:val="16"/>
          <w:lang w:val="fr-FR"/>
        </w:rPr>
      </w:pPr>
    </w:p>
    <w:p w14:paraId="669F1E61" w14:textId="77777777" w:rsidR="00B200F6" w:rsidRDefault="00B200F6" w:rsidP="00B200F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pt-PT"/>
        </w:rPr>
      </w:pPr>
      <w:r>
        <w:rPr>
          <w:rFonts w:cstheme="minorHAnsi"/>
          <w:b/>
          <w:bCs/>
          <w:sz w:val="24"/>
          <w:szCs w:val="24"/>
          <w:lang w:val="pt-PT"/>
        </w:rPr>
        <w:t>Centro Cultural de Belém, Lisbonne, le 25 octobre 2019</w:t>
      </w:r>
      <w:bookmarkEnd w:id="0"/>
    </w:p>
    <w:p w14:paraId="30CD12A3" w14:textId="51C44B17" w:rsidR="00002556" w:rsidRDefault="00002556" w:rsidP="00002556">
      <w:pPr>
        <w:rPr>
          <w:lang w:val="pt-PT"/>
        </w:rPr>
      </w:pPr>
    </w:p>
    <w:p w14:paraId="72819BFA" w14:textId="5632D978" w:rsidR="00B200F6" w:rsidRPr="00DD2FF4" w:rsidRDefault="00B200F6" w:rsidP="00B200F6">
      <w:pPr>
        <w:jc w:val="center"/>
        <w:rPr>
          <w:rFonts w:cs="Times New Roman"/>
          <w:sz w:val="24"/>
          <w:szCs w:val="24"/>
          <w:lang w:val="fr-FR"/>
        </w:rPr>
      </w:pPr>
      <w:r w:rsidRPr="00DD2FF4">
        <w:rPr>
          <w:rFonts w:cs="Times New Roman"/>
          <w:b/>
          <w:bCs/>
          <w:sz w:val="24"/>
          <w:szCs w:val="24"/>
          <w:lang w:val="fr-FR"/>
        </w:rPr>
        <w:t>II</w:t>
      </w:r>
      <w:r w:rsidRPr="00DD2FF4">
        <w:rPr>
          <w:rFonts w:cs="Times New Roman"/>
          <w:b/>
          <w:bCs/>
          <w:sz w:val="24"/>
          <w:szCs w:val="24"/>
          <w:vertAlign w:val="superscript"/>
          <w:lang w:val="fr-FR"/>
        </w:rPr>
        <w:t>e</w:t>
      </w:r>
      <w:r w:rsidRPr="00DD2FF4">
        <w:rPr>
          <w:rFonts w:cs="Times New Roman"/>
          <w:b/>
          <w:bCs/>
          <w:sz w:val="24"/>
          <w:szCs w:val="24"/>
          <w:lang w:val="fr-FR"/>
        </w:rPr>
        <w:t xml:space="preserve"> panel - Les défis de l'autorégulation : l'autorégulation est-elle la garantie d’une qualité accrue ?</w:t>
      </w:r>
    </w:p>
    <w:p w14:paraId="3B5F4C09" w14:textId="551DD05B" w:rsidR="00B200F6" w:rsidRDefault="00B200F6" w:rsidP="00B200F6">
      <w:pPr>
        <w:spacing w:after="120" w:line="240" w:lineRule="auto"/>
        <w:rPr>
          <w:rFonts w:cs="Times New Roman"/>
          <w:b/>
          <w:bCs/>
          <w:sz w:val="24"/>
          <w:szCs w:val="24"/>
          <w:lang w:val="fr-FR"/>
        </w:rPr>
      </w:pPr>
      <w:r w:rsidRPr="00DD2FF4">
        <w:rPr>
          <w:rFonts w:eastAsia="Times New Roman" w:cs="Times New Roman"/>
          <w:b/>
          <w:bCs/>
          <w:sz w:val="24"/>
          <w:szCs w:val="24"/>
          <w:lang w:val="fr-FR"/>
        </w:rPr>
        <w:t>Comprendre le contexte des besoins juridiques : comment l'éthique soutient la qualité selon la perspective de l’avocat</w:t>
      </w:r>
      <w:r w:rsidR="006C1579">
        <w:rPr>
          <w:rFonts w:eastAsia="Times New Roman" w:cs="Times New Roman"/>
          <w:b/>
          <w:bCs/>
          <w:sz w:val="24"/>
          <w:szCs w:val="24"/>
          <w:lang w:val="fr-FR"/>
        </w:rPr>
        <w:t xml:space="preserve"> </w:t>
      </w:r>
      <w:proofErr w:type="gramStart"/>
      <w:r w:rsidR="006C1579">
        <w:rPr>
          <w:rFonts w:eastAsia="Times New Roman" w:cs="Times New Roman"/>
          <w:b/>
          <w:bCs/>
          <w:sz w:val="24"/>
          <w:szCs w:val="24"/>
          <w:lang w:val="fr-FR"/>
        </w:rPr>
        <w:t>ou</w:t>
      </w:r>
      <w:proofErr w:type="gramEnd"/>
    </w:p>
    <w:p w14:paraId="6B9DDE2F" w14:textId="226198A1" w:rsidR="00B05A18" w:rsidRDefault="00B05A18" w:rsidP="00B200F6">
      <w:pPr>
        <w:spacing w:after="120" w:line="240" w:lineRule="auto"/>
        <w:rPr>
          <w:rFonts w:cs="Times New Roman"/>
          <w:b/>
          <w:bCs/>
          <w:sz w:val="24"/>
          <w:szCs w:val="24"/>
          <w:lang w:val="fr-FR"/>
        </w:rPr>
      </w:pPr>
    </w:p>
    <w:p w14:paraId="62EAD255" w14:textId="7B90ADA7" w:rsidR="00B05A18" w:rsidRPr="006C1579" w:rsidRDefault="00B05A18" w:rsidP="00B05A18">
      <w:pPr>
        <w:jc w:val="center"/>
        <w:rPr>
          <w:b/>
          <w:bCs/>
          <w:sz w:val="24"/>
          <w:szCs w:val="24"/>
          <w:lang w:val="fr-FR"/>
        </w:rPr>
      </w:pPr>
      <w:r w:rsidRPr="006C1579">
        <w:rPr>
          <w:b/>
          <w:bCs/>
          <w:sz w:val="24"/>
          <w:szCs w:val="24"/>
          <w:lang w:val="fr-FR"/>
        </w:rPr>
        <w:t>Le manteau noir du vilain : la robe d'honneur d'une profession fière de ses valeurs</w:t>
      </w:r>
    </w:p>
    <w:p w14:paraId="15290D2A" w14:textId="77777777" w:rsidR="00B05A18" w:rsidRPr="00DD2FF4" w:rsidRDefault="00B05A18" w:rsidP="00B200F6">
      <w:pPr>
        <w:spacing w:after="120" w:line="240" w:lineRule="auto"/>
        <w:rPr>
          <w:rFonts w:eastAsia="Times New Roman" w:cs="Times New Roman"/>
          <w:sz w:val="24"/>
          <w:szCs w:val="24"/>
          <w:lang w:val="fr-FR"/>
        </w:rPr>
      </w:pPr>
    </w:p>
    <w:p w14:paraId="52DF605C" w14:textId="06F55087" w:rsidR="00B200F6" w:rsidRPr="00086825" w:rsidRDefault="00B200F6" w:rsidP="00B200F6">
      <w:pPr>
        <w:pStyle w:val="Listenabsatz"/>
        <w:numPr>
          <w:ilvl w:val="0"/>
          <w:numId w:val="3"/>
        </w:numPr>
        <w:rPr>
          <w:b/>
          <w:bCs/>
        </w:rPr>
      </w:pPr>
      <w:r w:rsidRPr="00086825">
        <w:rPr>
          <w:b/>
          <w:bCs/>
        </w:rPr>
        <w:t>Introduction</w:t>
      </w:r>
    </w:p>
    <w:p w14:paraId="400461A5" w14:textId="4571406A" w:rsidR="00002556" w:rsidRDefault="00002556" w:rsidP="00002556">
      <w:pPr>
        <w:rPr>
          <w:lang w:val="fr-FR"/>
        </w:rPr>
      </w:pPr>
      <w:r w:rsidRPr="00BB4A4C">
        <w:rPr>
          <w:lang w:val="fr-FR"/>
        </w:rPr>
        <w:t>L'avocat est un prestataire de services</w:t>
      </w:r>
      <w:r>
        <w:rPr>
          <w:lang w:val="fr-FR"/>
        </w:rPr>
        <w:t>, mais</w:t>
      </w:r>
      <w:r w:rsidR="00243F43">
        <w:rPr>
          <w:rStyle w:val="Funotenzeichen"/>
          <w:lang w:val="fr-FR"/>
        </w:rPr>
        <w:footnoteReference w:id="1"/>
      </w:r>
      <w:r>
        <w:rPr>
          <w:lang w:val="fr-FR"/>
        </w:rPr>
        <w:t xml:space="preserve"> en même temps un</w:t>
      </w:r>
      <w:r w:rsidRPr="00BB4A4C">
        <w:rPr>
          <w:lang w:val="fr-FR"/>
        </w:rPr>
        <w:t xml:space="preserve"> </w:t>
      </w:r>
      <w:r>
        <w:rPr>
          <w:lang w:val="fr-FR"/>
        </w:rPr>
        <w:t>agent</w:t>
      </w:r>
      <w:r w:rsidRPr="00BB4A4C">
        <w:rPr>
          <w:lang w:val="fr-FR"/>
        </w:rPr>
        <w:t xml:space="preserve"> de l'administration de la justice</w:t>
      </w:r>
      <w:r>
        <w:rPr>
          <w:lang w:val="fr-FR"/>
        </w:rPr>
        <w:t xml:space="preserve"> au même titre que les magistrats</w:t>
      </w:r>
      <w:r w:rsidRPr="00BB4A4C">
        <w:rPr>
          <w:lang w:val="fr-FR"/>
        </w:rPr>
        <w:t xml:space="preserve">. Il </w:t>
      </w:r>
      <w:r>
        <w:rPr>
          <w:lang w:val="fr-FR"/>
        </w:rPr>
        <w:t>remplit sa fonction d’agent de justice</w:t>
      </w:r>
      <w:r w:rsidR="00354257">
        <w:rPr>
          <w:rStyle w:val="Funotenzeichen"/>
          <w:lang w:val="fr-FR"/>
        </w:rPr>
        <w:footnoteReference w:id="2"/>
      </w:r>
      <w:r>
        <w:rPr>
          <w:lang w:val="fr-FR"/>
        </w:rPr>
        <w:t xml:space="preserve"> par le truchement de son service</w:t>
      </w:r>
      <w:r>
        <w:rPr>
          <w:rStyle w:val="Funotenzeichen"/>
          <w:lang w:val="fr-FR"/>
        </w:rPr>
        <w:footnoteReference w:id="3"/>
      </w:r>
      <w:r w:rsidR="0009769A">
        <w:rPr>
          <w:lang w:val="fr-FR"/>
        </w:rPr>
        <w:t>,</w:t>
      </w:r>
      <w:r w:rsidR="00CC08F5">
        <w:rPr>
          <w:lang w:val="fr-FR"/>
        </w:rPr>
        <w:t xml:space="preserve"> pour emprunter une formule du prof. </w:t>
      </w:r>
      <w:proofErr w:type="spellStart"/>
      <w:r w:rsidR="00CC08F5">
        <w:rPr>
          <w:lang w:val="fr-FR"/>
        </w:rPr>
        <w:t>Hellwig</w:t>
      </w:r>
      <w:proofErr w:type="spellEnd"/>
      <w:r w:rsidRPr="00BB4A4C">
        <w:rPr>
          <w:lang w:val="fr-FR"/>
        </w:rPr>
        <w:t>.</w:t>
      </w:r>
      <w:r>
        <w:rPr>
          <w:lang w:val="fr-FR"/>
        </w:rPr>
        <w:t xml:space="preserve"> </w:t>
      </w:r>
    </w:p>
    <w:p w14:paraId="13C2BC1B" w14:textId="02723347" w:rsidR="00F94F98" w:rsidRDefault="00002556" w:rsidP="00002556">
      <w:pPr>
        <w:rPr>
          <w:lang w:val="fr-FR"/>
        </w:rPr>
      </w:pPr>
      <w:r>
        <w:rPr>
          <w:lang w:val="fr-FR"/>
        </w:rPr>
        <w:t>L</w:t>
      </w:r>
      <w:r w:rsidRPr="00BB4A4C">
        <w:rPr>
          <w:lang w:val="fr-FR"/>
        </w:rPr>
        <w:t xml:space="preserve">es valeurs fondamentales </w:t>
      </w:r>
      <w:r>
        <w:rPr>
          <w:lang w:val="fr-FR"/>
        </w:rPr>
        <w:t>de notre profession</w:t>
      </w:r>
      <w:r w:rsidR="00F119B0">
        <w:rPr>
          <w:rStyle w:val="Funotenzeichen"/>
          <w:lang w:val="fr-FR"/>
        </w:rPr>
        <w:footnoteReference w:id="4"/>
      </w:r>
      <w:r>
        <w:rPr>
          <w:lang w:val="fr-FR"/>
        </w:rPr>
        <w:t xml:space="preserve"> </w:t>
      </w:r>
      <w:r w:rsidRPr="00BB4A4C">
        <w:rPr>
          <w:lang w:val="fr-FR"/>
        </w:rPr>
        <w:t xml:space="preserve">sont indissociables de la qualité de </w:t>
      </w:r>
      <w:r>
        <w:rPr>
          <w:lang w:val="fr-FR"/>
        </w:rPr>
        <w:t>nos prestations, à moins de nous r</w:t>
      </w:r>
      <w:r w:rsidR="000C68C3">
        <w:rPr>
          <w:lang w:val="fr-FR"/>
        </w:rPr>
        <w:t>é</w:t>
      </w:r>
      <w:r>
        <w:rPr>
          <w:lang w:val="fr-FR"/>
        </w:rPr>
        <w:t xml:space="preserve">duire à de simples prestataires de services au risque de rompre le contrat social qui nous accorde </w:t>
      </w:r>
      <w:r w:rsidR="00DD2FF4">
        <w:rPr>
          <w:lang w:val="fr-FR"/>
        </w:rPr>
        <w:t xml:space="preserve">le </w:t>
      </w:r>
      <w:r>
        <w:rPr>
          <w:lang w:val="fr-FR"/>
        </w:rPr>
        <w:t>monopole l</w:t>
      </w:r>
      <w:r w:rsidR="007778F5">
        <w:rPr>
          <w:lang w:val="fr-FR"/>
        </w:rPr>
        <w:t>é</w:t>
      </w:r>
      <w:r>
        <w:rPr>
          <w:lang w:val="fr-FR"/>
        </w:rPr>
        <w:t>gal</w:t>
      </w:r>
      <w:r w:rsidR="00243F43">
        <w:rPr>
          <w:lang w:val="fr-FR"/>
        </w:rPr>
        <w:t>, d’ailleurs</w:t>
      </w:r>
      <w:r w:rsidR="000326E5">
        <w:rPr>
          <w:lang w:val="fr-FR"/>
        </w:rPr>
        <w:t>, du moins en Allemagne,</w:t>
      </w:r>
      <w:r w:rsidR="00243F43">
        <w:rPr>
          <w:lang w:val="fr-FR"/>
        </w:rPr>
        <w:t xml:space="preserve"> historiquement chargé</w:t>
      </w:r>
      <w:r>
        <w:rPr>
          <w:lang w:val="fr-FR"/>
        </w:rPr>
        <w:t>.</w:t>
      </w:r>
      <w:r w:rsidR="00F94F98">
        <w:rPr>
          <w:lang w:val="fr-FR"/>
        </w:rPr>
        <w:t xml:space="preserve"> </w:t>
      </w:r>
      <w:r w:rsidR="00CF0FED">
        <w:rPr>
          <w:lang w:val="fr-FR"/>
        </w:rPr>
        <w:t xml:space="preserve">Éthique et qualité sont les deux faces de la même médaille. </w:t>
      </w:r>
      <w:r w:rsidR="00620E49">
        <w:rPr>
          <w:lang w:val="fr-FR"/>
        </w:rPr>
        <w:t>Mais la</w:t>
      </w:r>
      <w:r w:rsidRPr="00BB4A4C">
        <w:rPr>
          <w:lang w:val="fr-FR"/>
        </w:rPr>
        <w:t xml:space="preserve"> protection des valeurs fondamentales rend nécessaire de restreindre la libre prestation de </w:t>
      </w:r>
      <w:r>
        <w:rPr>
          <w:lang w:val="fr-FR"/>
        </w:rPr>
        <w:t xml:space="preserve">nos </w:t>
      </w:r>
      <w:r w:rsidRPr="00BB4A4C">
        <w:rPr>
          <w:lang w:val="fr-FR"/>
        </w:rPr>
        <w:t xml:space="preserve">services au moyen de </w:t>
      </w:r>
      <w:r>
        <w:rPr>
          <w:lang w:val="fr-FR"/>
        </w:rPr>
        <w:t>la déontologie</w:t>
      </w:r>
      <w:r w:rsidRPr="00BB4A4C">
        <w:rPr>
          <w:lang w:val="fr-FR"/>
        </w:rPr>
        <w:t xml:space="preserve"> afin de r</w:t>
      </w:r>
      <w:r>
        <w:rPr>
          <w:lang w:val="fr-FR"/>
        </w:rPr>
        <w:t>épondre à notre vocation d’agents</w:t>
      </w:r>
      <w:r w:rsidRPr="00BB4A4C">
        <w:rPr>
          <w:lang w:val="fr-FR"/>
        </w:rPr>
        <w:t xml:space="preserve"> </w:t>
      </w:r>
      <w:r w:rsidR="000326E5">
        <w:rPr>
          <w:lang w:val="fr-FR"/>
        </w:rPr>
        <w:t>contribuant à</w:t>
      </w:r>
      <w:r w:rsidRPr="00BB4A4C">
        <w:rPr>
          <w:lang w:val="fr-FR"/>
        </w:rPr>
        <w:t xml:space="preserve"> l'administration de la justice</w:t>
      </w:r>
      <w:r>
        <w:rPr>
          <w:lang w:val="fr-FR"/>
        </w:rPr>
        <w:t>.</w:t>
      </w:r>
    </w:p>
    <w:p w14:paraId="28D2600B" w14:textId="54068CF4" w:rsidR="00002556" w:rsidRPr="00BB4A4C" w:rsidRDefault="00002556" w:rsidP="00002556">
      <w:pPr>
        <w:rPr>
          <w:lang w:val="fr-FR"/>
        </w:rPr>
      </w:pPr>
      <w:r w:rsidRPr="00BB4A4C">
        <w:rPr>
          <w:lang w:val="fr-FR"/>
        </w:rPr>
        <w:t xml:space="preserve">L'histoire </w:t>
      </w:r>
      <w:r w:rsidR="000A1E28">
        <w:rPr>
          <w:lang w:val="fr-FR"/>
        </w:rPr>
        <w:t>semble suggérer</w:t>
      </w:r>
      <w:r w:rsidRPr="00BB4A4C">
        <w:rPr>
          <w:lang w:val="fr-FR"/>
        </w:rPr>
        <w:t xml:space="preserve"> que </w:t>
      </w:r>
      <w:r>
        <w:rPr>
          <w:lang w:val="fr-FR"/>
        </w:rPr>
        <w:t>l’auto</w:t>
      </w:r>
      <w:r w:rsidR="008122D5">
        <w:rPr>
          <w:lang w:val="fr-FR"/>
        </w:rPr>
        <w:t>régulation</w:t>
      </w:r>
      <w:r>
        <w:rPr>
          <w:lang w:val="fr-FR"/>
        </w:rPr>
        <w:t xml:space="preserve"> de la profession est une condition sine qua non pour </w:t>
      </w:r>
      <w:r w:rsidR="00F94F98">
        <w:rPr>
          <w:lang w:val="fr-FR"/>
        </w:rPr>
        <w:t>le respect de la déontologie</w:t>
      </w:r>
      <w:r w:rsidR="00CC08F5">
        <w:rPr>
          <w:lang w:val="fr-FR"/>
        </w:rPr>
        <w:t xml:space="preserve"> et </w:t>
      </w:r>
      <w:r w:rsidR="00CC08F5" w:rsidRPr="00BB4A4C">
        <w:rPr>
          <w:lang w:val="fr-FR"/>
        </w:rPr>
        <w:t>l'indépendance de</w:t>
      </w:r>
      <w:r w:rsidR="00CC08F5">
        <w:rPr>
          <w:lang w:val="fr-FR"/>
        </w:rPr>
        <w:t xml:space="preserve"> l’avocature</w:t>
      </w:r>
      <w:r w:rsidR="00243F43">
        <w:rPr>
          <w:rStyle w:val="Funotenzeichen"/>
          <w:lang w:val="fr-FR"/>
        </w:rPr>
        <w:footnoteReference w:id="5"/>
      </w:r>
      <w:r w:rsidR="00CC08F5">
        <w:rPr>
          <w:lang w:val="fr-FR"/>
        </w:rPr>
        <w:t>.</w:t>
      </w:r>
      <w:r>
        <w:rPr>
          <w:lang w:val="fr-FR"/>
        </w:rPr>
        <w:t xml:space="preserve"> </w:t>
      </w:r>
      <w:r w:rsidR="00CF0FED">
        <w:rPr>
          <w:lang w:val="fr-FR"/>
        </w:rPr>
        <w:t>En même temps, l</w:t>
      </w:r>
      <w:r w:rsidR="00243F43">
        <w:rPr>
          <w:lang w:val="fr-FR"/>
        </w:rPr>
        <w:t xml:space="preserve">’État de droit </w:t>
      </w:r>
      <w:r w:rsidRPr="00BB4A4C">
        <w:rPr>
          <w:lang w:val="fr-FR"/>
        </w:rPr>
        <w:t xml:space="preserve">est étroitement lié à la liberté </w:t>
      </w:r>
      <w:r>
        <w:rPr>
          <w:lang w:val="fr-FR"/>
        </w:rPr>
        <w:t xml:space="preserve">et l’indépendance </w:t>
      </w:r>
      <w:r w:rsidRPr="00BB4A4C">
        <w:rPr>
          <w:lang w:val="fr-FR"/>
        </w:rPr>
        <w:t>de l</w:t>
      </w:r>
      <w:r>
        <w:rPr>
          <w:lang w:val="fr-FR"/>
        </w:rPr>
        <w:t>’</w:t>
      </w:r>
      <w:r w:rsidRPr="00BB4A4C">
        <w:rPr>
          <w:lang w:val="fr-FR"/>
        </w:rPr>
        <w:t>a</w:t>
      </w:r>
      <w:r>
        <w:rPr>
          <w:lang w:val="fr-FR"/>
        </w:rPr>
        <w:t>vocature</w:t>
      </w:r>
      <w:r w:rsidRPr="00BB4A4C">
        <w:rPr>
          <w:lang w:val="fr-FR"/>
        </w:rPr>
        <w:t>.</w:t>
      </w:r>
      <w:r>
        <w:rPr>
          <w:lang w:val="fr-FR"/>
        </w:rPr>
        <w:t xml:space="preserve"> </w:t>
      </w:r>
    </w:p>
    <w:p w14:paraId="05A43512" w14:textId="2D809D87" w:rsidR="00002556" w:rsidRDefault="00002556" w:rsidP="00002556">
      <w:pPr>
        <w:rPr>
          <w:lang w:val="fr-FR"/>
        </w:rPr>
      </w:pPr>
      <w:r w:rsidRPr="00BB4A4C">
        <w:rPr>
          <w:lang w:val="fr-FR"/>
        </w:rPr>
        <w:t>Accompagnez-moi</w:t>
      </w:r>
      <w:r w:rsidR="000A1E28">
        <w:rPr>
          <w:lang w:val="fr-FR"/>
        </w:rPr>
        <w:t xml:space="preserve"> donc</w:t>
      </w:r>
      <w:r>
        <w:rPr>
          <w:lang w:val="fr-FR"/>
        </w:rPr>
        <w:t xml:space="preserve"> le temps </w:t>
      </w:r>
      <w:r w:rsidRPr="00BB4A4C">
        <w:rPr>
          <w:lang w:val="fr-FR"/>
        </w:rPr>
        <w:t xml:space="preserve">d'une </w:t>
      </w:r>
      <w:r>
        <w:rPr>
          <w:lang w:val="fr-FR"/>
        </w:rPr>
        <w:t xml:space="preserve">brève </w:t>
      </w:r>
      <w:r w:rsidRPr="00BB4A4C">
        <w:rPr>
          <w:lang w:val="fr-FR"/>
        </w:rPr>
        <w:t>excursion dans l'histoire de la profession d'avocat afin d</w:t>
      </w:r>
      <w:r w:rsidR="00F94F98">
        <w:rPr>
          <w:lang w:val="fr-FR"/>
        </w:rPr>
        <w:t>’appuyer</w:t>
      </w:r>
      <w:r w:rsidRPr="00BB4A4C">
        <w:rPr>
          <w:lang w:val="fr-FR"/>
        </w:rPr>
        <w:t xml:space="preserve"> ma thèse.</w:t>
      </w:r>
    </w:p>
    <w:p w14:paraId="3A280C20" w14:textId="77777777" w:rsidR="000326E5" w:rsidRDefault="000326E5" w:rsidP="00002556">
      <w:pPr>
        <w:rPr>
          <w:lang w:val="fr-FR"/>
        </w:rPr>
      </w:pPr>
    </w:p>
    <w:p w14:paraId="36D6482C" w14:textId="5245088C" w:rsidR="00B200F6" w:rsidRPr="00086825" w:rsidRDefault="00B200F6" w:rsidP="00B200F6">
      <w:pPr>
        <w:pStyle w:val="Listenabsatz"/>
        <w:numPr>
          <w:ilvl w:val="0"/>
          <w:numId w:val="3"/>
        </w:numPr>
        <w:rPr>
          <w:b/>
          <w:bCs/>
        </w:rPr>
      </w:pPr>
      <w:r w:rsidRPr="00086825">
        <w:rPr>
          <w:b/>
          <w:bCs/>
        </w:rPr>
        <w:lastRenderedPageBreak/>
        <w:t>Une Brève Histoire d</w:t>
      </w:r>
      <w:r w:rsidR="007778F5">
        <w:rPr>
          <w:b/>
          <w:bCs/>
        </w:rPr>
        <w:t>es Avocats en Prusse et Allemagne</w:t>
      </w:r>
      <w:r w:rsidRPr="00086825">
        <w:rPr>
          <w:b/>
          <w:bCs/>
        </w:rPr>
        <w:t xml:space="preserve"> – Entre Contrôle de l’</w:t>
      </w:r>
      <w:r w:rsidR="002D538B">
        <w:rPr>
          <w:b/>
          <w:bCs/>
        </w:rPr>
        <w:t>É</w:t>
      </w:r>
      <w:r w:rsidRPr="00086825">
        <w:rPr>
          <w:b/>
          <w:bCs/>
        </w:rPr>
        <w:t>tat et Indépendance</w:t>
      </w:r>
    </w:p>
    <w:p w14:paraId="78719BC4" w14:textId="25E72109" w:rsidR="00B200F6" w:rsidRDefault="00B200F6" w:rsidP="00B200F6">
      <w:pPr>
        <w:rPr>
          <w:lang w:val="fr-FR"/>
        </w:rPr>
      </w:pPr>
      <w:r>
        <w:rPr>
          <w:lang w:val="fr-FR"/>
        </w:rPr>
        <w:t xml:space="preserve">La bonne administration de la justice, </w:t>
      </w:r>
      <w:r w:rsidR="005A12D5">
        <w:rPr>
          <w:lang w:val="fr-FR"/>
        </w:rPr>
        <w:t>demande-t</w:t>
      </w:r>
      <w:r>
        <w:rPr>
          <w:lang w:val="fr-FR"/>
        </w:rPr>
        <w:t>-elle une tutelle de l’</w:t>
      </w:r>
      <w:r w:rsidR="003005BB">
        <w:rPr>
          <w:lang w:val="fr-FR"/>
        </w:rPr>
        <w:t>É</w:t>
      </w:r>
      <w:r>
        <w:rPr>
          <w:lang w:val="fr-FR"/>
        </w:rPr>
        <w:t xml:space="preserve">tat ou tout au contraire une indépendance des </w:t>
      </w:r>
      <w:proofErr w:type="gramStart"/>
      <w:r>
        <w:rPr>
          <w:lang w:val="fr-FR"/>
        </w:rPr>
        <w:t>avocats</w:t>
      </w:r>
      <w:r w:rsidR="00DD2FF4">
        <w:rPr>
          <w:lang w:val="fr-FR"/>
        </w:rPr>
        <w:t>?</w:t>
      </w:r>
      <w:proofErr w:type="gramEnd"/>
      <w:r w:rsidR="00DD2FF4">
        <w:rPr>
          <w:lang w:val="fr-FR"/>
        </w:rPr>
        <w:t xml:space="preserve"> Nous allons voir que l’histoire prussienne et allemande </w:t>
      </w:r>
      <w:r w:rsidR="00D04BB2">
        <w:rPr>
          <w:lang w:val="fr-FR"/>
        </w:rPr>
        <w:t xml:space="preserve">en </w:t>
      </w:r>
      <w:r w:rsidR="00DD2FF4">
        <w:rPr>
          <w:lang w:val="fr-FR"/>
        </w:rPr>
        <w:t>fut un vrai laboratoire et que l’histoire semble avoir tranché.</w:t>
      </w:r>
    </w:p>
    <w:p w14:paraId="1E972DC0" w14:textId="77777777" w:rsidR="00DD2FF4" w:rsidRPr="00B200F6" w:rsidRDefault="00DD2FF4" w:rsidP="00B200F6">
      <w:pPr>
        <w:rPr>
          <w:lang w:val="fr-FR"/>
        </w:rPr>
      </w:pPr>
    </w:p>
    <w:p w14:paraId="0794ABE4" w14:textId="4D95F361" w:rsidR="00002556" w:rsidRPr="000A1E28" w:rsidRDefault="00002556" w:rsidP="00002556">
      <w:pPr>
        <w:rPr>
          <w:u w:val="single"/>
          <w:lang w:val="fr-FR"/>
        </w:rPr>
      </w:pPr>
      <w:r w:rsidRPr="000A1E28">
        <w:rPr>
          <w:u w:val="single"/>
          <w:lang w:val="fr-FR"/>
        </w:rPr>
        <w:t xml:space="preserve">1. </w:t>
      </w:r>
      <w:r w:rsidR="002D538B" w:rsidRPr="000A1E28">
        <w:rPr>
          <w:u w:val="single"/>
          <w:lang w:val="fr-FR"/>
        </w:rPr>
        <w:t xml:space="preserve">1713-1721 </w:t>
      </w:r>
      <w:r w:rsidR="002D538B">
        <w:rPr>
          <w:u w:val="single"/>
          <w:lang w:val="fr-FR"/>
        </w:rPr>
        <w:t xml:space="preserve">- </w:t>
      </w:r>
      <w:r w:rsidR="00A80ACA" w:rsidRPr="000A1E28">
        <w:rPr>
          <w:u w:val="single"/>
          <w:lang w:val="fr-FR"/>
        </w:rPr>
        <w:t>Une Justice débordée et coûteuse</w:t>
      </w:r>
      <w:r w:rsidR="002D538B">
        <w:rPr>
          <w:u w:val="single"/>
          <w:lang w:val="fr-FR"/>
        </w:rPr>
        <w:t> :</w:t>
      </w:r>
      <w:r w:rsidR="00A80ACA" w:rsidRPr="000A1E28">
        <w:rPr>
          <w:u w:val="single"/>
          <w:lang w:val="fr-FR"/>
        </w:rPr>
        <w:t xml:space="preserve"> </w:t>
      </w:r>
    </w:p>
    <w:p w14:paraId="10D59100" w14:textId="4BCD242A" w:rsidR="00495B51" w:rsidRPr="00495B51" w:rsidRDefault="00002556" w:rsidP="00002556">
      <w:pPr>
        <w:rPr>
          <w:lang w:val="fr-FR"/>
        </w:rPr>
      </w:pPr>
      <w:r w:rsidRPr="00BB4A4C">
        <w:rPr>
          <w:lang w:val="fr-FR"/>
        </w:rPr>
        <w:t>Au début du XVIIIe siècle, les proc</w:t>
      </w:r>
      <w:r>
        <w:rPr>
          <w:lang w:val="fr-FR"/>
        </w:rPr>
        <w:t xml:space="preserve">édures devant les tribunaux </w:t>
      </w:r>
      <w:r w:rsidRPr="00BB4A4C">
        <w:rPr>
          <w:lang w:val="fr-FR"/>
        </w:rPr>
        <w:t>dans le jeune royaume de Prusse furent long</w:t>
      </w:r>
      <w:r w:rsidR="005A12D5">
        <w:rPr>
          <w:lang w:val="fr-FR"/>
        </w:rPr>
        <w:t>ue</w:t>
      </w:r>
      <w:r w:rsidRPr="00BB4A4C">
        <w:rPr>
          <w:lang w:val="fr-FR"/>
        </w:rPr>
        <w:t>s et coûteu</w:t>
      </w:r>
      <w:r w:rsidR="005A12D5">
        <w:rPr>
          <w:lang w:val="fr-FR"/>
        </w:rPr>
        <w:t>ses</w:t>
      </w:r>
      <w:r w:rsidRPr="00BB4A4C">
        <w:rPr>
          <w:lang w:val="fr-FR"/>
        </w:rPr>
        <w:t>. Ce sont surtout les couches sociales les plus défavorisées de la société qui en souff</w:t>
      </w:r>
      <w:r>
        <w:rPr>
          <w:lang w:val="fr-FR"/>
        </w:rPr>
        <w:t>rirent</w:t>
      </w:r>
      <w:r w:rsidRPr="00BB4A4C">
        <w:rPr>
          <w:lang w:val="fr-FR"/>
        </w:rPr>
        <w:t>.</w:t>
      </w:r>
      <w:r w:rsidR="008122D5">
        <w:rPr>
          <w:lang w:val="fr-FR"/>
        </w:rPr>
        <w:t xml:space="preserve"> </w:t>
      </w:r>
      <w:r w:rsidRPr="00BB4A4C">
        <w:rPr>
          <w:lang w:val="fr-FR"/>
        </w:rPr>
        <w:t xml:space="preserve">Les avocats </w:t>
      </w:r>
      <w:r>
        <w:rPr>
          <w:lang w:val="fr-FR"/>
        </w:rPr>
        <w:t>furent</w:t>
      </w:r>
      <w:r w:rsidRPr="00BB4A4C">
        <w:rPr>
          <w:lang w:val="fr-FR"/>
        </w:rPr>
        <w:t xml:space="preserve"> accusés d</w:t>
      </w:r>
      <w:r>
        <w:rPr>
          <w:lang w:val="fr-FR"/>
        </w:rPr>
        <w:t>e</w:t>
      </w:r>
      <w:r w:rsidRPr="00BB4A4C">
        <w:rPr>
          <w:lang w:val="fr-FR"/>
        </w:rPr>
        <w:t xml:space="preserve"> fai</w:t>
      </w:r>
      <w:r>
        <w:rPr>
          <w:lang w:val="fr-FR"/>
        </w:rPr>
        <w:t>re</w:t>
      </w:r>
      <w:r w:rsidRPr="00BB4A4C">
        <w:rPr>
          <w:lang w:val="fr-FR"/>
        </w:rPr>
        <w:t xml:space="preserve"> traîner le</w:t>
      </w:r>
      <w:r>
        <w:rPr>
          <w:lang w:val="fr-FR"/>
        </w:rPr>
        <w:t>s</w:t>
      </w:r>
      <w:r w:rsidRPr="00BB4A4C">
        <w:rPr>
          <w:lang w:val="fr-FR"/>
        </w:rPr>
        <w:t xml:space="preserve"> procès, </w:t>
      </w:r>
      <w:r>
        <w:rPr>
          <w:lang w:val="fr-FR"/>
        </w:rPr>
        <w:t>de tromper la r</w:t>
      </w:r>
      <w:r w:rsidR="000C68C3">
        <w:rPr>
          <w:lang w:val="fr-FR"/>
        </w:rPr>
        <w:t>e</w:t>
      </w:r>
      <w:r>
        <w:rPr>
          <w:lang w:val="fr-FR"/>
        </w:rPr>
        <w:t xml:space="preserve">ligion des juges et </w:t>
      </w:r>
      <w:r w:rsidRPr="00BB4A4C">
        <w:rPr>
          <w:lang w:val="fr-FR"/>
        </w:rPr>
        <w:t>d'impos</w:t>
      </w:r>
      <w:r>
        <w:rPr>
          <w:lang w:val="fr-FR"/>
        </w:rPr>
        <w:t>er</w:t>
      </w:r>
      <w:r w:rsidRPr="00BB4A4C">
        <w:rPr>
          <w:lang w:val="fr-FR"/>
        </w:rPr>
        <w:t xml:space="preserve"> des procédures </w:t>
      </w:r>
      <w:r w:rsidR="0009769A">
        <w:rPr>
          <w:lang w:val="fr-FR"/>
        </w:rPr>
        <w:t xml:space="preserve">inutiles </w:t>
      </w:r>
      <w:r w:rsidRPr="00BB4A4C">
        <w:rPr>
          <w:lang w:val="fr-FR"/>
        </w:rPr>
        <w:t>à leurs clients.</w:t>
      </w:r>
    </w:p>
    <w:p w14:paraId="4D3BFC02" w14:textId="535EB2F7" w:rsidR="00002556" w:rsidRPr="00BB4A4C" w:rsidRDefault="00002556" w:rsidP="00002556">
      <w:pPr>
        <w:rPr>
          <w:lang w:val="fr-FR"/>
        </w:rPr>
      </w:pPr>
      <w:r>
        <w:rPr>
          <w:lang w:val="fr-FR"/>
        </w:rPr>
        <w:t>Le roi</w:t>
      </w:r>
      <w:r w:rsidR="00F71344">
        <w:rPr>
          <w:rStyle w:val="Funotenzeichen"/>
          <w:lang w:val="fr-FR"/>
        </w:rPr>
        <w:footnoteReference w:id="6"/>
      </w:r>
      <w:r>
        <w:rPr>
          <w:lang w:val="fr-FR"/>
        </w:rPr>
        <w:t xml:space="preserve"> souhaitait </w:t>
      </w:r>
      <w:r w:rsidRPr="00BB4A4C">
        <w:rPr>
          <w:lang w:val="fr-FR"/>
        </w:rPr>
        <w:t>raccourcir les proc</w:t>
      </w:r>
      <w:r>
        <w:rPr>
          <w:lang w:val="fr-FR"/>
        </w:rPr>
        <w:t xml:space="preserve">édures </w:t>
      </w:r>
      <w:r w:rsidRPr="00BB4A4C">
        <w:rPr>
          <w:lang w:val="fr-FR"/>
        </w:rPr>
        <w:t>et d</w:t>
      </w:r>
      <w:r>
        <w:rPr>
          <w:lang w:val="fr-FR"/>
        </w:rPr>
        <w:t>’</w:t>
      </w:r>
      <w:r w:rsidRPr="00BB4A4C">
        <w:rPr>
          <w:lang w:val="fr-FR"/>
        </w:rPr>
        <w:t>e</w:t>
      </w:r>
      <w:r>
        <w:rPr>
          <w:lang w:val="fr-FR"/>
        </w:rPr>
        <w:t>n</w:t>
      </w:r>
      <w:r w:rsidRPr="00BB4A4C">
        <w:rPr>
          <w:lang w:val="fr-FR"/>
        </w:rPr>
        <w:t xml:space="preserve"> réduire les coûts</w:t>
      </w:r>
      <w:r>
        <w:rPr>
          <w:lang w:val="fr-FR"/>
        </w:rPr>
        <w:t>. Le moyen : M</w:t>
      </w:r>
      <w:r w:rsidRPr="00BB4A4C">
        <w:rPr>
          <w:lang w:val="fr-FR"/>
        </w:rPr>
        <w:t>ettre le</w:t>
      </w:r>
      <w:r>
        <w:rPr>
          <w:lang w:val="fr-FR"/>
        </w:rPr>
        <w:t xml:space="preserve">s </w:t>
      </w:r>
      <w:r w:rsidRPr="00BB4A4C">
        <w:rPr>
          <w:lang w:val="fr-FR"/>
        </w:rPr>
        <w:t xml:space="preserve">avocats sous contrôle de l'État. </w:t>
      </w:r>
    </w:p>
    <w:p w14:paraId="67CC6DDE" w14:textId="328C1478" w:rsidR="008122D5" w:rsidRPr="00BB4A4C" w:rsidRDefault="00002556" w:rsidP="008122D5">
      <w:pPr>
        <w:rPr>
          <w:lang w:val="fr-FR"/>
        </w:rPr>
      </w:pPr>
      <w:r w:rsidRPr="003B45C7">
        <w:rPr>
          <w:lang w:val="fr-FR"/>
        </w:rPr>
        <w:t xml:space="preserve">En 1713, un code vestimentaire </w:t>
      </w:r>
      <w:r w:rsidR="00DD2FF4">
        <w:rPr>
          <w:lang w:val="fr-FR"/>
        </w:rPr>
        <w:t>fut</w:t>
      </w:r>
      <w:r w:rsidRPr="003B45C7">
        <w:rPr>
          <w:lang w:val="fr-FR"/>
        </w:rPr>
        <w:t xml:space="preserve"> publié : </w:t>
      </w:r>
      <w:r w:rsidR="0009769A">
        <w:rPr>
          <w:lang w:val="fr-FR"/>
        </w:rPr>
        <w:t>« </w:t>
      </w:r>
      <w:r w:rsidRPr="003B45C7">
        <w:rPr>
          <w:i/>
          <w:iCs/>
          <w:lang w:val="fr-FR"/>
        </w:rPr>
        <w:t>Nous ordonnons en tout sérieux que les avocats portent des manteaux noirs, qui descendent jusqu'au genou, afin que l'on puisse reconnaître de loin les vilains</w:t>
      </w:r>
      <w:r w:rsidRPr="003B45C7">
        <w:rPr>
          <w:rStyle w:val="Funotenzeichen"/>
          <w:lang w:val="fr-FR"/>
        </w:rPr>
        <w:footnoteReference w:id="7"/>
      </w:r>
      <w:r w:rsidR="0009769A">
        <w:rPr>
          <w:i/>
          <w:iCs/>
          <w:lang w:val="fr-FR"/>
        </w:rPr>
        <w:t> »</w:t>
      </w:r>
      <w:r w:rsidRPr="003B45C7">
        <w:rPr>
          <w:lang w:val="fr-FR"/>
        </w:rPr>
        <w:t>.</w:t>
      </w:r>
      <w:r w:rsidR="008122D5" w:rsidRPr="008122D5">
        <w:rPr>
          <w:lang w:val="fr-FR"/>
        </w:rPr>
        <w:t xml:space="preserve"> </w:t>
      </w:r>
      <w:r w:rsidR="008122D5">
        <w:rPr>
          <w:lang w:val="fr-FR"/>
        </w:rPr>
        <w:t>Des 1200</w:t>
      </w:r>
      <w:r w:rsidR="008122D5" w:rsidRPr="00BB4A4C">
        <w:rPr>
          <w:lang w:val="fr-FR"/>
        </w:rPr>
        <w:t xml:space="preserve"> avocats et procureur</w:t>
      </w:r>
      <w:r w:rsidR="008122D5">
        <w:rPr>
          <w:lang w:val="fr-FR"/>
        </w:rPr>
        <w:t xml:space="preserve">s, </w:t>
      </w:r>
      <w:r w:rsidR="008122D5" w:rsidRPr="00BB4A4C">
        <w:rPr>
          <w:lang w:val="fr-FR"/>
        </w:rPr>
        <w:t xml:space="preserve">720 </w:t>
      </w:r>
      <w:r w:rsidR="008122D5">
        <w:rPr>
          <w:lang w:val="fr-FR"/>
        </w:rPr>
        <w:t>furent d</w:t>
      </w:r>
      <w:r w:rsidR="008122D5" w:rsidRPr="00BB4A4C">
        <w:rPr>
          <w:lang w:val="fr-FR"/>
        </w:rPr>
        <w:t>émis de leurs fonctions</w:t>
      </w:r>
      <w:r w:rsidR="008122D5">
        <w:rPr>
          <w:lang w:val="fr-FR"/>
        </w:rPr>
        <w:t xml:space="preserve">. </w:t>
      </w:r>
      <w:r w:rsidR="008122D5" w:rsidRPr="00BB4A4C">
        <w:rPr>
          <w:lang w:val="fr-FR"/>
        </w:rPr>
        <w:t xml:space="preserve">Ceux qui continuaient à pratiquer sans permission étaient menacés de </w:t>
      </w:r>
      <w:r w:rsidR="008122D5">
        <w:rPr>
          <w:lang w:val="fr-FR"/>
        </w:rPr>
        <w:t>p</w:t>
      </w:r>
      <w:r w:rsidR="008122D5" w:rsidRPr="00BB4A4C">
        <w:rPr>
          <w:lang w:val="fr-FR"/>
        </w:rPr>
        <w:t>unition</w:t>
      </w:r>
      <w:r w:rsidR="00695C26">
        <w:rPr>
          <w:lang w:val="fr-FR"/>
        </w:rPr>
        <w:t>, un premier pas vers le monopole des avocats</w:t>
      </w:r>
      <w:r w:rsidR="0009769A">
        <w:rPr>
          <w:lang w:val="fr-FR"/>
        </w:rPr>
        <w:t>, mais cadeau empoisonné</w:t>
      </w:r>
      <w:r w:rsidR="008122D5" w:rsidRPr="00BB4A4C">
        <w:rPr>
          <w:lang w:val="fr-FR"/>
        </w:rPr>
        <w:t>.</w:t>
      </w:r>
    </w:p>
    <w:p w14:paraId="6CFC0214" w14:textId="23E06484" w:rsidR="00002556" w:rsidRPr="00BB4A4C" w:rsidRDefault="00002556" w:rsidP="00002556">
      <w:pPr>
        <w:rPr>
          <w:lang w:val="fr-FR"/>
        </w:rPr>
      </w:pPr>
      <w:r>
        <w:rPr>
          <w:lang w:val="fr-FR"/>
        </w:rPr>
        <w:t>L</w:t>
      </w:r>
      <w:r w:rsidRPr="003B45C7">
        <w:rPr>
          <w:lang w:val="fr-FR"/>
        </w:rPr>
        <w:t>e procès</w:t>
      </w:r>
      <w:r w:rsidRPr="00BB4A4C">
        <w:rPr>
          <w:lang w:val="fr-FR"/>
        </w:rPr>
        <w:t xml:space="preserve"> écrit</w:t>
      </w:r>
      <w:r>
        <w:rPr>
          <w:lang w:val="fr-FR"/>
        </w:rPr>
        <w:t xml:space="preserve"> </w:t>
      </w:r>
      <w:r w:rsidR="008122D5">
        <w:rPr>
          <w:lang w:val="fr-FR"/>
        </w:rPr>
        <w:t xml:space="preserve">et le débat contradictoire furent </w:t>
      </w:r>
      <w:r>
        <w:rPr>
          <w:lang w:val="fr-FR"/>
        </w:rPr>
        <w:t>aboli</w:t>
      </w:r>
      <w:r w:rsidR="008122D5">
        <w:rPr>
          <w:lang w:val="fr-FR"/>
        </w:rPr>
        <w:t>s</w:t>
      </w:r>
      <w:r w:rsidRPr="00BB4A4C">
        <w:rPr>
          <w:lang w:val="fr-FR"/>
        </w:rPr>
        <w:t xml:space="preserve">. </w:t>
      </w:r>
      <w:r>
        <w:rPr>
          <w:lang w:val="fr-FR"/>
        </w:rPr>
        <w:t>L</w:t>
      </w:r>
      <w:r w:rsidRPr="00BB4A4C">
        <w:rPr>
          <w:lang w:val="fr-FR"/>
        </w:rPr>
        <w:t>'avocat devait se limiter</w:t>
      </w:r>
      <w:r>
        <w:rPr>
          <w:lang w:val="fr-FR"/>
        </w:rPr>
        <w:t xml:space="preserve"> </w:t>
      </w:r>
      <w:r w:rsidRPr="00BB4A4C">
        <w:rPr>
          <w:lang w:val="fr-FR"/>
        </w:rPr>
        <w:t>aux faits</w:t>
      </w:r>
      <w:r>
        <w:rPr>
          <w:lang w:val="fr-FR"/>
        </w:rPr>
        <w:t xml:space="preserve">, </w:t>
      </w:r>
      <w:r w:rsidR="008122D5">
        <w:rPr>
          <w:lang w:val="fr-FR"/>
        </w:rPr>
        <w:t>l’a</w:t>
      </w:r>
      <w:r>
        <w:rPr>
          <w:lang w:val="fr-FR"/>
        </w:rPr>
        <w:t>nalyse légale</w:t>
      </w:r>
      <w:r w:rsidRPr="00BB4A4C">
        <w:rPr>
          <w:lang w:val="fr-FR"/>
        </w:rPr>
        <w:t xml:space="preserve"> relevait de la seule responsabilité du juge. L'avocat n'était plus autorisé à prendre la parole devant le tribunal, mais devant deux conseillers dans une salle voisine, qui </w:t>
      </w:r>
      <w:r>
        <w:rPr>
          <w:lang w:val="fr-FR"/>
        </w:rPr>
        <w:t>rapportèrent ses propos</w:t>
      </w:r>
      <w:r w:rsidRPr="00BB4A4C">
        <w:rPr>
          <w:lang w:val="fr-FR"/>
        </w:rPr>
        <w:t xml:space="preserve"> au juge. </w:t>
      </w:r>
    </w:p>
    <w:p w14:paraId="6C3A0CAF" w14:textId="3D1113E3" w:rsidR="00002556" w:rsidRDefault="00002556" w:rsidP="00002556">
      <w:pPr>
        <w:rPr>
          <w:lang w:val="fr-FR"/>
        </w:rPr>
      </w:pPr>
      <w:r w:rsidRPr="00BB4A4C">
        <w:rPr>
          <w:lang w:val="fr-FR"/>
        </w:rPr>
        <w:t xml:space="preserve">Le nouveau règlement </w:t>
      </w:r>
      <w:r>
        <w:rPr>
          <w:lang w:val="fr-FR"/>
        </w:rPr>
        <w:t xml:space="preserve">avait cependant l’effet </w:t>
      </w:r>
      <w:proofErr w:type="gramStart"/>
      <w:r>
        <w:rPr>
          <w:lang w:val="fr-FR"/>
        </w:rPr>
        <w:t>contrair</w:t>
      </w:r>
      <w:r w:rsidR="000C68C3">
        <w:rPr>
          <w:lang w:val="fr-FR"/>
        </w:rPr>
        <w:t>e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 w:rsidR="00F71344">
        <w:rPr>
          <w:lang w:val="fr-FR"/>
        </w:rPr>
        <w:t>l</w:t>
      </w:r>
      <w:r>
        <w:rPr>
          <w:lang w:val="fr-FR"/>
        </w:rPr>
        <w:t>es procédures devenaient très longues et la qualité de l’administration de la justice avait baissé dramatiquement</w:t>
      </w:r>
      <w:r w:rsidR="00495B51">
        <w:rPr>
          <w:lang w:val="fr-FR"/>
        </w:rPr>
        <w:t>, dépendant du seul juge</w:t>
      </w:r>
      <w:r>
        <w:rPr>
          <w:lang w:val="fr-FR"/>
        </w:rPr>
        <w:t>.</w:t>
      </w:r>
      <w:r w:rsidRPr="00BB4A4C">
        <w:rPr>
          <w:lang w:val="fr-FR"/>
        </w:rPr>
        <w:t xml:space="preserve"> </w:t>
      </w:r>
    </w:p>
    <w:p w14:paraId="541D0612" w14:textId="77777777" w:rsidR="00DD2FF4" w:rsidRDefault="00DD2FF4" w:rsidP="00002556">
      <w:pPr>
        <w:rPr>
          <w:lang w:val="fr-FR"/>
        </w:rPr>
      </w:pPr>
    </w:p>
    <w:p w14:paraId="0A058CB7" w14:textId="1AA1CEE0" w:rsidR="00002556" w:rsidRPr="000A1E28" w:rsidRDefault="00002556" w:rsidP="00002556">
      <w:pPr>
        <w:rPr>
          <w:u w:val="single"/>
          <w:lang w:val="fr-FR"/>
        </w:rPr>
      </w:pPr>
      <w:r w:rsidRPr="000A1E28">
        <w:rPr>
          <w:u w:val="single"/>
          <w:lang w:val="fr-FR"/>
        </w:rPr>
        <w:t>2. 1742-</w:t>
      </w:r>
      <w:bookmarkStart w:id="1" w:name="_GoBack"/>
      <w:bookmarkEnd w:id="1"/>
      <w:r w:rsidRPr="000A1E28">
        <w:rPr>
          <w:u w:val="single"/>
          <w:lang w:val="fr-FR"/>
        </w:rPr>
        <w:t>1748 –</w:t>
      </w:r>
      <w:r w:rsidR="000F44D5" w:rsidRPr="000A1E28">
        <w:rPr>
          <w:u w:val="single"/>
          <w:lang w:val="fr-FR"/>
        </w:rPr>
        <w:t xml:space="preserve"> Autocensure des avocats et sélection sociale</w:t>
      </w:r>
    </w:p>
    <w:p w14:paraId="11F3F4C4" w14:textId="4FD00DDB" w:rsidR="00002556" w:rsidRDefault="008122D5" w:rsidP="00002556">
      <w:pPr>
        <w:rPr>
          <w:lang w:val="fr-FR"/>
        </w:rPr>
      </w:pPr>
      <w:r>
        <w:rPr>
          <w:lang w:val="fr-FR"/>
        </w:rPr>
        <w:t>T</w:t>
      </w:r>
      <w:r w:rsidR="00002556" w:rsidRPr="00BB4A4C">
        <w:rPr>
          <w:lang w:val="fr-FR"/>
        </w:rPr>
        <w:t xml:space="preserve">out comme son père, Frédéric II n'était pas un ami des avocats. </w:t>
      </w:r>
      <w:r>
        <w:rPr>
          <w:lang w:val="fr-FR"/>
        </w:rPr>
        <w:t>Il</w:t>
      </w:r>
      <w:r w:rsidR="00002556" w:rsidRPr="00353A88">
        <w:rPr>
          <w:lang w:val="fr-FR"/>
        </w:rPr>
        <w:t xml:space="preserve"> voyait en eux des </w:t>
      </w:r>
      <w:r w:rsidR="00002556">
        <w:rPr>
          <w:lang w:val="fr-FR"/>
        </w:rPr>
        <w:t>« </w:t>
      </w:r>
      <w:proofErr w:type="spellStart"/>
      <w:r w:rsidR="00002556" w:rsidRPr="00002556">
        <w:rPr>
          <w:i/>
          <w:iCs/>
          <w:lang w:val="fr-FR"/>
        </w:rPr>
        <w:t>tourciveur</w:t>
      </w:r>
      <w:r w:rsidR="00002556">
        <w:rPr>
          <w:i/>
          <w:iCs/>
          <w:lang w:val="fr-FR"/>
        </w:rPr>
        <w:t>s</w:t>
      </w:r>
      <w:proofErr w:type="spellEnd"/>
      <w:r w:rsidR="00002556" w:rsidRPr="00002556">
        <w:rPr>
          <w:i/>
          <w:iCs/>
          <w:lang w:val="fr-FR"/>
        </w:rPr>
        <w:t xml:space="preserve"> et rapaces sans raison et sens de la réalité</w:t>
      </w:r>
      <w:r w:rsidR="00002556">
        <w:rPr>
          <w:lang w:val="fr-FR"/>
        </w:rPr>
        <w:t> »</w:t>
      </w:r>
      <w:r w:rsidR="00002556">
        <w:rPr>
          <w:rStyle w:val="Funotenzeichen"/>
          <w:lang w:val="fr-FR"/>
        </w:rPr>
        <w:footnoteReference w:id="8"/>
      </w:r>
      <w:r w:rsidR="00002556">
        <w:rPr>
          <w:lang w:val="fr-FR"/>
        </w:rPr>
        <w:t>.</w:t>
      </w:r>
      <w:r w:rsidR="00495B51">
        <w:rPr>
          <w:lang w:val="fr-FR"/>
        </w:rPr>
        <w:t xml:space="preserve"> Le mal venait donc forcément d’eux.</w:t>
      </w:r>
    </w:p>
    <w:p w14:paraId="79CC8BBB" w14:textId="5B3C80D0" w:rsidR="00002556" w:rsidRDefault="000F44D5" w:rsidP="00002556">
      <w:pPr>
        <w:rPr>
          <w:lang w:val="fr-FR"/>
        </w:rPr>
      </w:pPr>
      <w:r>
        <w:rPr>
          <w:lang w:val="fr-FR"/>
        </w:rPr>
        <w:lastRenderedPageBreak/>
        <w:t>En</w:t>
      </w:r>
      <w:r w:rsidR="00002556" w:rsidRPr="00BB4A4C">
        <w:rPr>
          <w:lang w:val="fr-FR"/>
        </w:rPr>
        <w:t xml:space="preserve"> 1746, les avocats </w:t>
      </w:r>
      <w:r w:rsidR="00002556">
        <w:rPr>
          <w:lang w:val="fr-FR"/>
        </w:rPr>
        <w:t xml:space="preserve">furent obligés </w:t>
      </w:r>
      <w:r w:rsidR="00002556" w:rsidRPr="00BB4A4C">
        <w:rPr>
          <w:lang w:val="fr-FR"/>
        </w:rPr>
        <w:t xml:space="preserve">à soumettre les </w:t>
      </w:r>
      <w:r>
        <w:rPr>
          <w:lang w:val="fr-FR"/>
        </w:rPr>
        <w:t>dossiers</w:t>
      </w:r>
      <w:r w:rsidR="00002556" w:rsidRPr="00BB4A4C">
        <w:rPr>
          <w:lang w:val="fr-FR"/>
        </w:rPr>
        <w:t xml:space="preserve"> à un examen préliminaire et, </w:t>
      </w:r>
      <w:r w:rsidR="00002556">
        <w:rPr>
          <w:lang w:val="fr-FR"/>
        </w:rPr>
        <w:t xml:space="preserve">si la demande </w:t>
      </w:r>
      <w:r>
        <w:rPr>
          <w:lang w:val="fr-FR"/>
        </w:rPr>
        <w:t>paraissait</w:t>
      </w:r>
      <w:r w:rsidR="00002556">
        <w:rPr>
          <w:lang w:val="fr-FR"/>
        </w:rPr>
        <w:t xml:space="preserve"> </w:t>
      </w:r>
      <w:r w:rsidR="00002556" w:rsidRPr="00BB4A4C">
        <w:rPr>
          <w:lang w:val="fr-FR"/>
        </w:rPr>
        <w:t>abusi</w:t>
      </w:r>
      <w:r w:rsidR="00002556">
        <w:rPr>
          <w:lang w:val="fr-FR"/>
        </w:rPr>
        <w:t>ve</w:t>
      </w:r>
      <w:r w:rsidR="00002556" w:rsidRPr="00BB4A4C">
        <w:rPr>
          <w:lang w:val="fr-FR"/>
        </w:rPr>
        <w:t xml:space="preserve">, </w:t>
      </w:r>
      <w:r w:rsidR="00002556">
        <w:rPr>
          <w:lang w:val="fr-FR"/>
        </w:rPr>
        <w:t>ils devaient refuser le dossier</w:t>
      </w:r>
      <w:r w:rsidR="00002556" w:rsidRPr="00BB4A4C">
        <w:rPr>
          <w:lang w:val="fr-FR"/>
        </w:rPr>
        <w:t xml:space="preserve">. </w:t>
      </w:r>
      <w:r>
        <w:rPr>
          <w:lang w:val="fr-FR"/>
        </w:rPr>
        <w:t xml:space="preserve">Depuis </w:t>
      </w:r>
      <w:r w:rsidR="00002556" w:rsidRPr="00BB4A4C">
        <w:rPr>
          <w:lang w:val="fr-FR"/>
        </w:rPr>
        <w:t xml:space="preserve">1748, </w:t>
      </w:r>
      <w:r>
        <w:rPr>
          <w:lang w:val="fr-FR"/>
        </w:rPr>
        <w:t>s</w:t>
      </w:r>
      <w:r w:rsidR="00002556">
        <w:rPr>
          <w:lang w:val="fr-FR"/>
        </w:rPr>
        <w:t xml:space="preserve">euls étaient admis </w:t>
      </w:r>
      <w:r w:rsidR="00002556" w:rsidRPr="00BB4A4C">
        <w:rPr>
          <w:lang w:val="fr-FR"/>
        </w:rPr>
        <w:t>à la profession d'avocat des candidats qui venaient d</w:t>
      </w:r>
      <w:r w:rsidR="00002556">
        <w:rPr>
          <w:lang w:val="fr-FR"/>
        </w:rPr>
        <w:t>’un</w:t>
      </w:r>
      <w:r>
        <w:rPr>
          <w:lang w:val="fr-FR"/>
        </w:rPr>
        <w:t xml:space="preserve"> milieu</w:t>
      </w:r>
      <w:r w:rsidR="00002556" w:rsidRPr="00BB4A4C">
        <w:rPr>
          <w:lang w:val="fr-FR"/>
        </w:rPr>
        <w:t xml:space="preserve"> aisé. On espérait </w:t>
      </w:r>
      <w:r w:rsidR="00002556">
        <w:rPr>
          <w:lang w:val="fr-FR"/>
        </w:rPr>
        <w:t>ainsi</w:t>
      </w:r>
      <w:r w:rsidR="00002556" w:rsidRPr="00BB4A4C">
        <w:rPr>
          <w:lang w:val="fr-FR"/>
        </w:rPr>
        <w:t xml:space="preserve"> améliorer la qualité et la réputation de la profession.</w:t>
      </w:r>
    </w:p>
    <w:p w14:paraId="34644302" w14:textId="77777777" w:rsidR="00DD2FF4" w:rsidRPr="00BB4A4C" w:rsidRDefault="00DD2FF4" w:rsidP="00002556">
      <w:pPr>
        <w:rPr>
          <w:lang w:val="fr-FR"/>
        </w:rPr>
      </w:pPr>
    </w:p>
    <w:p w14:paraId="67B3D14B" w14:textId="0A452B7B" w:rsidR="00002556" w:rsidRPr="000A1E28" w:rsidRDefault="00002556" w:rsidP="00002556">
      <w:pPr>
        <w:rPr>
          <w:u w:val="single"/>
          <w:lang w:val="fr-FR"/>
        </w:rPr>
      </w:pPr>
      <w:r w:rsidRPr="000A1E28">
        <w:rPr>
          <w:u w:val="single"/>
          <w:lang w:val="fr-FR"/>
        </w:rPr>
        <w:t>3. 177</w:t>
      </w:r>
      <w:r w:rsidR="008122D5">
        <w:rPr>
          <w:u w:val="single"/>
          <w:lang w:val="fr-FR"/>
        </w:rPr>
        <w:t>9</w:t>
      </w:r>
      <w:r w:rsidRPr="000A1E28">
        <w:rPr>
          <w:u w:val="single"/>
          <w:lang w:val="fr-FR"/>
        </w:rPr>
        <w:t xml:space="preserve"> </w:t>
      </w:r>
      <w:r w:rsidR="00C416E3">
        <w:rPr>
          <w:u w:val="single"/>
          <w:lang w:val="fr-FR"/>
        </w:rPr>
        <w:t>-</w:t>
      </w:r>
      <w:r w:rsidR="00896DBA">
        <w:rPr>
          <w:u w:val="single"/>
          <w:lang w:val="fr-FR"/>
        </w:rPr>
        <w:t xml:space="preserve"> </w:t>
      </w:r>
      <w:r w:rsidRPr="000A1E28">
        <w:rPr>
          <w:u w:val="single"/>
          <w:lang w:val="fr-FR"/>
        </w:rPr>
        <w:t xml:space="preserve">L'abolition de l’avocature </w:t>
      </w:r>
    </w:p>
    <w:p w14:paraId="23DEA458" w14:textId="13E58007" w:rsidR="00002556" w:rsidRDefault="008122D5" w:rsidP="00002556">
      <w:pPr>
        <w:rPr>
          <w:lang w:val="fr-FR"/>
        </w:rPr>
      </w:pPr>
      <w:r>
        <w:rPr>
          <w:lang w:val="fr-FR"/>
        </w:rPr>
        <w:t xml:space="preserve">En </w:t>
      </w:r>
      <w:r w:rsidRPr="00BB4A4C">
        <w:rPr>
          <w:lang w:val="fr-FR"/>
        </w:rPr>
        <w:t xml:space="preserve">1779, la "Loi Carmer" </w:t>
      </w:r>
      <w:r>
        <w:rPr>
          <w:lang w:val="fr-FR"/>
        </w:rPr>
        <w:t>entra en vigueur</w:t>
      </w:r>
      <w:r w:rsidRPr="00BB4A4C">
        <w:rPr>
          <w:lang w:val="fr-FR"/>
        </w:rPr>
        <w:t>.</w:t>
      </w:r>
      <w:r>
        <w:rPr>
          <w:lang w:val="fr-FR"/>
        </w:rPr>
        <w:t xml:space="preserve"> </w:t>
      </w:r>
      <w:r w:rsidR="00002556">
        <w:rPr>
          <w:lang w:val="fr-FR"/>
        </w:rPr>
        <w:t>Dor</w:t>
      </w:r>
      <w:r w:rsidR="00FB42B0">
        <w:rPr>
          <w:lang w:val="fr-FR"/>
        </w:rPr>
        <w:t>é</w:t>
      </w:r>
      <w:r w:rsidR="00002556">
        <w:rPr>
          <w:lang w:val="fr-FR"/>
        </w:rPr>
        <w:t>n</w:t>
      </w:r>
      <w:r w:rsidR="00FB42B0">
        <w:rPr>
          <w:lang w:val="fr-FR"/>
        </w:rPr>
        <w:t>a</w:t>
      </w:r>
      <w:r w:rsidR="00002556">
        <w:rPr>
          <w:lang w:val="fr-FR"/>
        </w:rPr>
        <w:t xml:space="preserve">vant, </w:t>
      </w:r>
      <w:r w:rsidR="00F71344">
        <w:rPr>
          <w:lang w:val="fr-FR"/>
        </w:rPr>
        <w:t>le</w:t>
      </w:r>
      <w:r w:rsidR="00495B51">
        <w:rPr>
          <w:lang w:val="fr-FR"/>
        </w:rPr>
        <w:t xml:space="preserve"> </w:t>
      </w:r>
      <w:r w:rsidR="00002556" w:rsidRPr="00BB4A4C">
        <w:rPr>
          <w:lang w:val="fr-FR"/>
        </w:rPr>
        <w:t xml:space="preserve">juge </w:t>
      </w:r>
      <w:r w:rsidR="00F71344">
        <w:rPr>
          <w:lang w:val="fr-FR"/>
        </w:rPr>
        <w:t>serait</w:t>
      </w:r>
      <w:r w:rsidR="00002556">
        <w:rPr>
          <w:lang w:val="fr-FR"/>
        </w:rPr>
        <w:t xml:space="preserve"> l’inquisiteur de la procédure qui adopte </w:t>
      </w:r>
      <w:r>
        <w:rPr>
          <w:lang w:val="fr-FR"/>
        </w:rPr>
        <w:t xml:space="preserve">définitivement </w:t>
      </w:r>
      <w:r w:rsidR="00002556">
        <w:rPr>
          <w:lang w:val="fr-FR"/>
        </w:rPr>
        <w:t>le principe de l’instruction.</w:t>
      </w:r>
    </w:p>
    <w:p w14:paraId="60689D9A" w14:textId="175051E5" w:rsidR="008122D5" w:rsidRPr="00BB4A4C" w:rsidRDefault="00002556" w:rsidP="008122D5">
      <w:pPr>
        <w:rPr>
          <w:lang w:val="fr-FR"/>
        </w:rPr>
      </w:pPr>
      <w:r>
        <w:rPr>
          <w:lang w:val="fr-FR"/>
        </w:rPr>
        <w:t>Les avocats ne seraient que des auxiliaires des juges</w:t>
      </w:r>
      <w:r w:rsidR="008122D5" w:rsidRPr="008122D5">
        <w:rPr>
          <w:lang w:val="fr-FR"/>
        </w:rPr>
        <w:t xml:space="preserve"> </w:t>
      </w:r>
      <w:r w:rsidR="008122D5" w:rsidRPr="00BB4A4C">
        <w:rPr>
          <w:lang w:val="fr-FR"/>
        </w:rPr>
        <w:t xml:space="preserve">ce qui </w:t>
      </w:r>
      <w:r w:rsidR="008122D5">
        <w:rPr>
          <w:lang w:val="fr-FR"/>
        </w:rPr>
        <w:t xml:space="preserve">revenait à </w:t>
      </w:r>
      <w:r w:rsidR="008122D5" w:rsidRPr="00BB4A4C">
        <w:rPr>
          <w:lang w:val="fr-FR"/>
        </w:rPr>
        <w:t xml:space="preserve">l'abolition du </w:t>
      </w:r>
      <w:r w:rsidR="008122D5">
        <w:rPr>
          <w:lang w:val="fr-FR"/>
        </w:rPr>
        <w:t>rôle de l’avocat</w:t>
      </w:r>
      <w:r w:rsidR="008122D5" w:rsidRPr="00BB4A4C">
        <w:rPr>
          <w:lang w:val="fr-FR"/>
        </w:rPr>
        <w:t>.</w:t>
      </w:r>
      <w:r w:rsidRPr="00BB4A4C">
        <w:rPr>
          <w:lang w:val="fr-FR"/>
        </w:rPr>
        <w:t xml:space="preserve"> Le terme "</w:t>
      </w:r>
      <w:r>
        <w:rPr>
          <w:lang w:val="fr-FR"/>
        </w:rPr>
        <w:t>a</w:t>
      </w:r>
      <w:r w:rsidRPr="00BB4A4C">
        <w:rPr>
          <w:lang w:val="fr-FR"/>
        </w:rPr>
        <w:t>vo</w:t>
      </w:r>
      <w:r>
        <w:rPr>
          <w:lang w:val="fr-FR"/>
        </w:rPr>
        <w:t>c</w:t>
      </w:r>
      <w:r w:rsidRPr="00BB4A4C">
        <w:rPr>
          <w:lang w:val="fr-FR"/>
        </w:rPr>
        <w:t xml:space="preserve">at" </w:t>
      </w:r>
      <w:r w:rsidR="008122D5">
        <w:rPr>
          <w:lang w:val="fr-FR"/>
        </w:rPr>
        <w:t>fut</w:t>
      </w:r>
      <w:r w:rsidRPr="00BB4A4C">
        <w:rPr>
          <w:lang w:val="fr-FR"/>
        </w:rPr>
        <w:t xml:space="preserve"> </w:t>
      </w:r>
      <w:r w:rsidR="008122D5">
        <w:rPr>
          <w:lang w:val="fr-FR"/>
        </w:rPr>
        <w:t xml:space="preserve">d’ailleurs </w:t>
      </w:r>
      <w:r w:rsidRPr="00BB4A4C">
        <w:rPr>
          <w:lang w:val="fr-FR"/>
        </w:rPr>
        <w:t>remplacé par le terme</w:t>
      </w:r>
      <w:r>
        <w:rPr>
          <w:lang w:val="fr-FR"/>
        </w:rPr>
        <w:t xml:space="preserve"> « </w:t>
      </w:r>
      <w:r w:rsidRPr="00836B98">
        <w:rPr>
          <w:i/>
          <w:iCs/>
          <w:lang w:val="fr-FR"/>
        </w:rPr>
        <w:t xml:space="preserve">Conseiller </w:t>
      </w:r>
      <w:r w:rsidR="005A12D5" w:rsidRPr="00836B98">
        <w:rPr>
          <w:i/>
          <w:iCs/>
          <w:lang w:val="fr-FR"/>
        </w:rPr>
        <w:t>a</w:t>
      </w:r>
      <w:r w:rsidRPr="00836B98">
        <w:rPr>
          <w:i/>
          <w:iCs/>
          <w:lang w:val="fr-FR"/>
        </w:rPr>
        <w:t>uxiliaire</w:t>
      </w:r>
      <w:r>
        <w:rPr>
          <w:lang w:val="fr-FR"/>
        </w:rPr>
        <w:t> »</w:t>
      </w:r>
      <w:r w:rsidR="00F71344">
        <w:rPr>
          <w:rStyle w:val="Funotenzeichen"/>
          <w:lang w:val="fr-FR"/>
        </w:rPr>
        <w:footnoteReference w:id="9"/>
      </w:r>
      <w:r w:rsidR="008122D5">
        <w:rPr>
          <w:lang w:val="fr-FR"/>
        </w:rPr>
        <w:t>,</w:t>
      </w:r>
      <w:r w:rsidR="008122D5" w:rsidRPr="008122D5">
        <w:rPr>
          <w:lang w:val="fr-FR"/>
        </w:rPr>
        <w:t xml:space="preserve"> </w:t>
      </w:r>
      <w:r w:rsidR="008122D5">
        <w:rPr>
          <w:lang w:val="fr-FR"/>
        </w:rPr>
        <w:t>nommé et</w:t>
      </w:r>
      <w:r w:rsidR="008122D5" w:rsidRPr="00BB4A4C">
        <w:rPr>
          <w:lang w:val="fr-FR"/>
        </w:rPr>
        <w:t xml:space="preserve"> rémunéré par le tribuna</w:t>
      </w:r>
      <w:r w:rsidR="008122D5">
        <w:rPr>
          <w:lang w:val="fr-FR"/>
        </w:rPr>
        <w:t xml:space="preserve">l, </w:t>
      </w:r>
      <w:r w:rsidR="008122D5" w:rsidRPr="00BB4A4C">
        <w:rPr>
          <w:lang w:val="fr-FR"/>
        </w:rPr>
        <w:t xml:space="preserve">assigné </w:t>
      </w:r>
      <w:r w:rsidR="008122D5">
        <w:rPr>
          <w:lang w:val="fr-FR"/>
        </w:rPr>
        <w:t xml:space="preserve">d’office </w:t>
      </w:r>
      <w:r w:rsidR="008122D5" w:rsidRPr="00BB4A4C">
        <w:rPr>
          <w:lang w:val="fr-FR"/>
        </w:rPr>
        <w:t>aux parties.</w:t>
      </w:r>
    </w:p>
    <w:p w14:paraId="5E6220F0" w14:textId="3F0B0863" w:rsidR="00002556" w:rsidRPr="00BB4A4C" w:rsidRDefault="00C32E4D" w:rsidP="00002556">
      <w:pPr>
        <w:rPr>
          <w:lang w:val="fr-FR"/>
        </w:rPr>
      </w:pPr>
      <w:r>
        <w:rPr>
          <w:lang w:val="fr-FR"/>
        </w:rPr>
        <w:t>Les</w:t>
      </w:r>
      <w:r w:rsidR="00002556" w:rsidRPr="00BB4A4C">
        <w:rPr>
          <w:lang w:val="fr-FR"/>
        </w:rPr>
        <w:t xml:space="preserve"> avocats qui n'étaient plus autorisés à exercer leur profession </w:t>
      </w:r>
      <w:r w:rsidR="00002556">
        <w:rPr>
          <w:lang w:val="fr-FR"/>
        </w:rPr>
        <w:t>furent</w:t>
      </w:r>
      <w:r w:rsidR="00002556" w:rsidRPr="00BB4A4C">
        <w:rPr>
          <w:lang w:val="fr-FR"/>
        </w:rPr>
        <w:t xml:space="preserve"> nommés </w:t>
      </w:r>
      <w:r w:rsidR="00002556">
        <w:rPr>
          <w:lang w:val="fr-FR"/>
        </w:rPr>
        <w:t>« </w:t>
      </w:r>
      <w:r w:rsidR="00002556" w:rsidRPr="00836B98">
        <w:rPr>
          <w:i/>
          <w:iCs/>
          <w:lang w:val="fr-FR"/>
        </w:rPr>
        <w:t>commissaires de justice</w:t>
      </w:r>
      <w:r w:rsidR="00002556">
        <w:rPr>
          <w:lang w:val="fr-FR"/>
        </w:rPr>
        <w:t> »</w:t>
      </w:r>
      <w:r w:rsidR="00002556" w:rsidRPr="00BB4A4C">
        <w:rPr>
          <w:lang w:val="fr-FR"/>
        </w:rPr>
        <w:t xml:space="preserve">. Leurs fonctions comprenaient l'exécution </w:t>
      </w:r>
      <w:r w:rsidR="00002556">
        <w:rPr>
          <w:lang w:val="fr-FR"/>
        </w:rPr>
        <w:t xml:space="preserve">forcée </w:t>
      </w:r>
      <w:r w:rsidR="00002556" w:rsidRPr="00BB4A4C">
        <w:rPr>
          <w:lang w:val="fr-FR"/>
        </w:rPr>
        <w:t>ainsi que la défense dans les affaires pénales.</w:t>
      </w:r>
      <w:r w:rsidR="00002556">
        <w:rPr>
          <w:lang w:val="fr-FR"/>
        </w:rPr>
        <w:t xml:space="preserve"> Cependant, il leur était interdit </w:t>
      </w:r>
      <w:r w:rsidR="00002556" w:rsidRPr="00BB4A4C">
        <w:rPr>
          <w:lang w:val="fr-FR"/>
        </w:rPr>
        <w:t>de comparaître devant le tribunal</w:t>
      </w:r>
      <w:r w:rsidR="00495B51">
        <w:rPr>
          <w:lang w:val="fr-FR"/>
        </w:rPr>
        <w:t xml:space="preserve">. </w:t>
      </w:r>
      <w:r w:rsidR="00002556">
        <w:rPr>
          <w:lang w:val="fr-FR"/>
        </w:rPr>
        <w:t>Mais au contraire des intention</w:t>
      </w:r>
      <w:r w:rsidR="00713FA9">
        <w:rPr>
          <w:lang w:val="fr-FR"/>
        </w:rPr>
        <w:t>s</w:t>
      </w:r>
      <w:r w:rsidR="00002556">
        <w:rPr>
          <w:lang w:val="fr-FR"/>
        </w:rPr>
        <w:t xml:space="preserve"> du roi</w:t>
      </w:r>
      <w:r w:rsidR="00002556" w:rsidRPr="00BB4A4C">
        <w:rPr>
          <w:lang w:val="fr-FR"/>
        </w:rPr>
        <w:t xml:space="preserve">, </w:t>
      </w:r>
      <w:r w:rsidR="00002556">
        <w:rPr>
          <w:lang w:val="fr-FR"/>
        </w:rPr>
        <w:t xml:space="preserve">la fonction du </w:t>
      </w:r>
      <w:r w:rsidR="00002556" w:rsidRPr="00BB4A4C">
        <w:rPr>
          <w:lang w:val="fr-FR"/>
        </w:rPr>
        <w:t xml:space="preserve">commissaire </w:t>
      </w:r>
      <w:r w:rsidR="00002556">
        <w:rPr>
          <w:lang w:val="fr-FR"/>
        </w:rPr>
        <w:t>de</w:t>
      </w:r>
      <w:r w:rsidR="00002556" w:rsidRPr="00BB4A4C">
        <w:rPr>
          <w:lang w:val="fr-FR"/>
        </w:rPr>
        <w:t xml:space="preserve"> justice développ</w:t>
      </w:r>
      <w:r w:rsidR="00002556">
        <w:rPr>
          <w:lang w:val="fr-FR"/>
        </w:rPr>
        <w:t>a</w:t>
      </w:r>
      <w:r w:rsidR="00002556" w:rsidRPr="00BB4A4C">
        <w:rPr>
          <w:lang w:val="fr-FR"/>
        </w:rPr>
        <w:t xml:space="preserve"> </w:t>
      </w:r>
      <w:r w:rsidR="00713FA9">
        <w:rPr>
          <w:lang w:val="fr-FR"/>
        </w:rPr>
        <w:t xml:space="preserve">ensuite </w:t>
      </w:r>
      <w:r w:rsidR="00002556" w:rsidRPr="00BB4A4C">
        <w:rPr>
          <w:lang w:val="fr-FR"/>
        </w:rPr>
        <w:t>sa propre dynamique.</w:t>
      </w:r>
      <w:r w:rsidR="00002556">
        <w:rPr>
          <w:lang w:val="fr-FR"/>
        </w:rPr>
        <w:t xml:space="preserve"> </w:t>
      </w:r>
    </w:p>
    <w:p w14:paraId="759675AB" w14:textId="38C6FA02" w:rsidR="00002556" w:rsidRDefault="00713FA9" w:rsidP="00002556">
      <w:pPr>
        <w:rPr>
          <w:lang w:val="fr-FR"/>
        </w:rPr>
      </w:pPr>
      <w:r>
        <w:rPr>
          <w:lang w:val="fr-FR"/>
        </w:rPr>
        <w:t>Car t</w:t>
      </w:r>
      <w:r w:rsidR="00002556">
        <w:rPr>
          <w:lang w:val="fr-FR"/>
        </w:rPr>
        <w:t>andis que</w:t>
      </w:r>
      <w:r w:rsidR="00002556" w:rsidRPr="00BB4A4C">
        <w:rPr>
          <w:lang w:val="fr-FR"/>
        </w:rPr>
        <w:t xml:space="preserve"> les commissaires </w:t>
      </w:r>
      <w:r w:rsidR="00002556">
        <w:rPr>
          <w:lang w:val="fr-FR"/>
        </w:rPr>
        <w:t>de</w:t>
      </w:r>
      <w:r w:rsidR="00002556" w:rsidRPr="00BB4A4C">
        <w:rPr>
          <w:lang w:val="fr-FR"/>
        </w:rPr>
        <w:t xml:space="preserve"> justice s'acquitt</w:t>
      </w:r>
      <w:r w:rsidR="00002556">
        <w:rPr>
          <w:lang w:val="fr-FR"/>
        </w:rPr>
        <w:t>èrent</w:t>
      </w:r>
      <w:r w:rsidR="00002556" w:rsidRPr="00BB4A4C">
        <w:rPr>
          <w:lang w:val="fr-FR"/>
        </w:rPr>
        <w:t xml:space="preserve"> de leurs tâches</w:t>
      </w:r>
      <w:r w:rsidR="00002556">
        <w:rPr>
          <w:lang w:val="fr-FR"/>
        </w:rPr>
        <w:t xml:space="preserve"> honorablement</w:t>
      </w:r>
      <w:r w:rsidR="00002556" w:rsidRPr="00BB4A4C">
        <w:rPr>
          <w:lang w:val="fr-FR"/>
        </w:rPr>
        <w:t>,</w:t>
      </w:r>
      <w:r w:rsidR="00002556">
        <w:rPr>
          <w:lang w:val="fr-FR"/>
        </w:rPr>
        <w:t xml:space="preserve"> les</w:t>
      </w:r>
      <w:r w:rsidR="00002556" w:rsidRPr="00BB4A4C">
        <w:rPr>
          <w:lang w:val="fr-FR"/>
        </w:rPr>
        <w:t xml:space="preserve"> </w:t>
      </w:r>
      <w:r w:rsidR="00002556">
        <w:rPr>
          <w:lang w:val="fr-FR"/>
        </w:rPr>
        <w:t xml:space="preserve">conseillers auxiliaires étaient l’objet </w:t>
      </w:r>
      <w:r w:rsidR="00002556" w:rsidRPr="00BB4A4C">
        <w:rPr>
          <w:lang w:val="fr-FR"/>
        </w:rPr>
        <w:t xml:space="preserve">de plaintes </w:t>
      </w:r>
      <w:r w:rsidR="00002556">
        <w:rPr>
          <w:lang w:val="fr-FR"/>
        </w:rPr>
        <w:t>répétées</w:t>
      </w:r>
      <w:r w:rsidR="00002556" w:rsidRPr="00BB4A4C">
        <w:rPr>
          <w:lang w:val="fr-FR"/>
        </w:rPr>
        <w:t xml:space="preserve">. </w:t>
      </w:r>
      <w:r w:rsidR="00002556">
        <w:rPr>
          <w:lang w:val="fr-FR"/>
        </w:rPr>
        <w:t xml:space="preserve">On leur reprocha de </w:t>
      </w:r>
      <w:r w:rsidR="00002556" w:rsidRPr="00BB4A4C">
        <w:rPr>
          <w:lang w:val="fr-FR"/>
        </w:rPr>
        <w:t>ven</w:t>
      </w:r>
      <w:r w:rsidR="00002556">
        <w:rPr>
          <w:lang w:val="fr-FR"/>
        </w:rPr>
        <w:t>ir</w:t>
      </w:r>
      <w:r w:rsidR="00002556" w:rsidRPr="00BB4A4C">
        <w:rPr>
          <w:lang w:val="fr-FR"/>
        </w:rPr>
        <w:t xml:space="preserve"> au procès mal préparé, </w:t>
      </w:r>
      <w:r w:rsidR="00002556">
        <w:rPr>
          <w:lang w:val="fr-FR"/>
        </w:rPr>
        <w:t>de</w:t>
      </w:r>
      <w:r w:rsidR="00002556" w:rsidRPr="00BB4A4C">
        <w:rPr>
          <w:lang w:val="fr-FR"/>
        </w:rPr>
        <w:t xml:space="preserve"> déform</w:t>
      </w:r>
      <w:r w:rsidR="00002556">
        <w:rPr>
          <w:lang w:val="fr-FR"/>
        </w:rPr>
        <w:t>er</w:t>
      </w:r>
      <w:r w:rsidR="00002556" w:rsidRPr="00BB4A4C">
        <w:rPr>
          <w:lang w:val="fr-FR"/>
        </w:rPr>
        <w:t xml:space="preserve"> les faits et </w:t>
      </w:r>
      <w:r w:rsidR="00002556">
        <w:rPr>
          <w:lang w:val="fr-FR"/>
        </w:rPr>
        <w:t xml:space="preserve">de </w:t>
      </w:r>
      <w:r w:rsidR="00002556" w:rsidRPr="00BB4A4C">
        <w:rPr>
          <w:lang w:val="fr-FR"/>
        </w:rPr>
        <w:t>fai</w:t>
      </w:r>
      <w:r w:rsidR="00002556">
        <w:rPr>
          <w:lang w:val="fr-FR"/>
        </w:rPr>
        <w:t>r</w:t>
      </w:r>
      <w:r w:rsidR="00620E49">
        <w:rPr>
          <w:lang w:val="fr-FR"/>
        </w:rPr>
        <w:t>e</w:t>
      </w:r>
      <w:r w:rsidR="00002556" w:rsidRPr="00BB4A4C">
        <w:rPr>
          <w:lang w:val="fr-FR"/>
        </w:rPr>
        <w:t xml:space="preserve"> des déclarations </w:t>
      </w:r>
      <w:r w:rsidR="00F66DD1">
        <w:rPr>
          <w:lang w:val="fr-FR"/>
        </w:rPr>
        <w:t xml:space="preserve">peu pertinentes </w:t>
      </w:r>
      <w:r w:rsidR="00002556" w:rsidRPr="00BB4A4C">
        <w:rPr>
          <w:lang w:val="fr-FR"/>
        </w:rPr>
        <w:t xml:space="preserve">devant le tribunal. </w:t>
      </w:r>
    </w:p>
    <w:p w14:paraId="282D2333" w14:textId="7738C0C0" w:rsidR="00002556" w:rsidRDefault="005364E8" w:rsidP="00002556">
      <w:pPr>
        <w:rPr>
          <w:lang w:val="fr-FR"/>
        </w:rPr>
      </w:pPr>
      <w:r>
        <w:rPr>
          <w:lang w:val="fr-FR"/>
        </w:rPr>
        <w:t>En</w:t>
      </w:r>
      <w:r w:rsidR="00002556" w:rsidRPr="00BB4A4C">
        <w:rPr>
          <w:lang w:val="fr-FR"/>
        </w:rPr>
        <w:t xml:space="preserve"> 1783, les justiciables </w:t>
      </w:r>
      <w:r w:rsidR="00713FA9">
        <w:rPr>
          <w:lang w:val="fr-FR"/>
        </w:rPr>
        <w:t>furent</w:t>
      </w:r>
      <w:r w:rsidR="00002556" w:rsidRPr="00BB4A4C">
        <w:rPr>
          <w:lang w:val="fr-FR"/>
        </w:rPr>
        <w:t xml:space="preserve"> autorisés à nommer un commissaire </w:t>
      </w:r>
      <w:r w:rsidR="00002556">
        <w:rPr>
          <w:lang w:val="fr-FR"/>
        </w:rPr>
        <w:t>de</w:t>
      </w:r>
      <w:r w:rsidR="00002556" w:rsidRPr="00BB4A4C">
        <w:rPr>
          <w:lang w:val="fr-FR"/>
        </w:rPr>
        <w:t xml:space="preserve"> justice </w:t>
      </w:r>
      <w:r w:rsidR="00002556">
        <w:rPr>
          <w:lang w:val="fr-FR"/>
        </w:rPr>
        <w:t>au lieu d’un co</w:t>
      </w:r>
      <w:r w:rsidR="00C32E4D">
        <w:rPr>
          <w:lang w:val="fr-FR"/>
        </w:rPr>
        <w:t>n</w:t>
      </w:r>
      <w:r w:rsidR="00002556">
        <w:rPr>
          <w:lang w:val="fr-FR"/>
        </w:rPr>
        <w:t>seil</w:t>
      </w:r>
      <w:r w:rsidR="00C32E4D">
        <w:rPr>
          <w:lang w:val="fr-FR"/>
        </w:rPr>
        <w:t>ler</w:t>
      </w:r>
      <w:r w:rsidR="00002556">
        <w:rPr>
          <w:lang w:val="fr-FR"/>
        </w:rPr>
        <w:t xml:space="preserve"> auxiliaire</w:t>
      </w:r>
      <w:r w:rsidR="00002556" w:rsidRPr="00BB4A4C">
        <w:rPr>
          <w:lang w:val="fr-FR"/>
        </w:rPr>
        <w:t xml:space="preserve">. </w:t>
      </w:r>
      <w:r w:rsidR="00002556">
        <w:rPr>
          <w:lang w:val="fr-FR"/>
        </w:rPr>
        <w:t xml:space="preserve">De fait, cela revenait à rétablir </w:t>
      </w:r>
      <w:r w:rsidR="00713FA9">
        <w:rPr>
          <w:lang w:val="fr-FR"/>
        </w:rPr>
        <w:t xml:space="preserve">un début de </w:t>
      </w:r>
      <w:r w:rsidR="00002556">
        <w:rPr>
          <w:lang w:val="fr-FR"/>
        </w:rPr>
        <w:t xml:space="preserve">l’avocature. </w:t>
      </w:r>
    </w:p>
    <w:p w14:paraId="2F1DEE7C" w14:textId="77777777" w:rsidR="00620E49" w:rsidRPr="00BB4A4C" w:rsidRDefault="00620E49" w:rsidP="00002556">
      <w:pPr>
        <w:rPr>
          <w:lang w:val="fr-FR"/>
        </w:rPr>
      </w:pPr>
    </w:p>
    <w:p w14:paraId="73AB554E" w14:textId="374C5BAB" w:rsidR="00002556" w:rsidRPr="00F66DD1" w:rsidRDefault="00C111C8" w:rsidP="00002556">
      <w:pPr>
        <w:rPr>
          <w:u w:val="single"/>
          <w:lang w:val="fr-FR"/>
        </w:rPr>
      </w:pPr>
      <w:r>
        <w:rPr>
          <w:u w:val="single"/>
          <w:lang w:val="fr-FR"/>
        </w:rPr>
        <w:t>4</w:t>
      </w:r>
      <w:r w:rsidR="00002556" w:rsidRPr="00F66DD1">
        <w:rPr>
          <w:u w:val="single"/>
          <w:lang w:val="fr-FR"/>
        </w:rPr>
        <w:t xml:space="preserve">. </w:t>
      </w:r>
      <w:r w:rsidR="00F66DD1" w:rsidRPr="00F66DD1">
        <w:rPr>
          <w:u w:val="single"/>
          <w:lang w:val="fr-FR"/>
        </w:rPr>
        <w:t>1793</w:t>
      </w:r>
      <w:r w:rsidR="002D538B">
        <w:rPr>
          <w:u w:val="single"/>
          <w:lang w:val="fr-FR"/>
        </w:rPr>
        <w:t>-1846</w:t>
      </w:r>
      <w:r w:rsidR="00F66DD1" w:rsidRPr="00F66DD1">
        <w:rPr>
          <w:u w:val="single"/>
          <w:lang w:val="fr-FR"/>
        </w:rPr>
        <w:t xml:space="preserve"> - Le retour de l‘avocat</w:t>
      </w:r>
      <w:r w:rsidR="00F66DD1">
        <w:rPr>
          <w:u w:val="single"/>
          <w:lang w:val="fr-FR"/>
        </w:rPr>
        <w:t>ure</w:t>
      </w:r>
    </w:p>
    <w:p w14:paraId="0EF48F4B" w14:textId="2202D663" w:rsidR="00002556" w:rsidRPr="00BB4A4C" w:rsidRDefault="002D538B" w:rsidP="00002556">
      <w:pPr>
        <w:rPr>
          <w:lang w:val="fr-FR"/>
        </w:rPr>
      </w:pPr>
      <w:r>
        <w:rPr>
          <w:lang w:val="fr-FR"/>
        </w:rPr>
        <w:t>En</w:t>
      </w:r>
      <w:r w:rsidR="00002556" w:rsidRPr="00BB4A4C">
        <w:rPr>
          <w:lang w:val="fr-FR"/>
        </w:rPr>
        <w:t xml:space="preserve"> 1793, une version révisée du Code </w:t>
      </w:r>
      <w:r w:rsidR="00C416E3">
        <w:rPr>
          <w:lang w:val="fr-FR"/>
        </w:rPr>
        <w:t>judiciaire</w:t>
      </w:r>
      <w:r w:rsidR="00C32E4D">
        <w:rPr>
          <w:rStyle w:val="Funotenzeichen"/>
          <w:lang w:val="fr-FR"/>
        </w:rPr>
        <w:footnoteReference w:id="10"/>
      </w:r>
      <w:r w:rsidR="00002556" w:rsidRPr="00BB4A4C">
        <w:rPr>
          <w:lang w:val="fr-FR"/>
        </w:rPr>
        <w:t xml:space="preserve"> </w:t>
      </w:r>
      <w:r w:rsidR="00002556">
        <w:rPr>
          <w:lang w:val="fr-FR"/>
        </w:rPr>
        <w:t xml:space="preserve">entra en vigueur. </w:t>
      </w:r>
      <w:r w:rsidR="00F66DD1">
        <w:rPr>
          <w:lang w:val="fr-FR"/>
        </w:rPr>
        <w:t xml:space="preserve">Les commissaires de justice </w:t>
      </w:r>
      <w:r w:rsidR="00002556" w:rsidRPr="00BB4A4C">
        <w:rPr>
          <w:lang w:val="fr-FR"/>
        </w:rPr>
        <w:t xml:space="preserve">pouvaient à nouveau agir en tant que représentants des parties </w:t>
      </w:r>
      <w:r w:rsidR="00F66DD1">
        <w:rPr>
          <w:lang w:val="fr-FR"/>
        </w:rPr>
        <w:t>ce qui revenait à leur accorder la fonction d’avocat</w:t>
      </w:r>
      <w:r w:rsidR="00002556" w:rsidRPr="00BB4A4C">
        <w:rPr>
          <w:lang w:val="fr-FR"/>
        </w:rPr>
        <w:t xml:space="preserve">. </w:t>
      </w:r>
      <w:r w:rsidR="00002556">
        <w:rPr>
          <w:lang w:val="fr-FR"/>
        </w:rPr>
        <w:t>La fonction du conseiller auxiliaire</w:t>
      </w:r>
      <w:r w:rsidR="00713FA9">
        <w:rPr>
          <w:lang w:val="fr-FR"/>
        </w:rPr>
        <w:t>,</w:t>
      </w:r>
      <w:r w:rsidR="00002556">
        <w:rPr>
          <w:lang w:val="fr-FR"/>
        </w:rPr>
        <w:t xml:space="preserve"> </w:t>
      </w:r>
      <w:r w:rsidR="00713FA9">
        <w:rPr>
          <w:lang w:val="fr-FR"/>
        </w:rPr>
        <w:t>e</w:t>
      </w:r>
      <w:r w:rsidR="00002556">
        <w:rPr>
          <w:lang w:val="fr-FR"/>
        </w:rPr>
        <w:t>n revanche</w:t>
      </w:r>
      <w:r w:rsidR="00713FA9">
        <w:rPr>
          <w:lang w:val="fr-FR"/>
        </w:rPr>
        <w:t>,</w:t>
      </w:r>
      <w:r w:rsidR="00002556" w:rsidRPr="00BB4A4C">
        <w:rPr>
          <w:lang w:val="fr-FR"/>
        </w:rPr>
        <w:t xml:space="preserve"> </w:t>
      </w:r>
      <w:r w:rsidR="00002556">
        <w:rPr>
          <w:lang w:val="fr-FR"/>
        </w:rPr>
        <w:t xml:space="preserve">fut </w:t>
      </w:r>
      <w:r w:rsidR="00002556" w:rsidRPr="00BB4A4C">
        <w:rPr>
          <w:lang w:val="fr-FR"/>
        </w:rPr>
        <w:t>aboli</w:t>
      </w:r>
      <w:r w:rsidR="005A12D5">
        <w:rPr>
          <w:lang w:val="fr-FR"/>
        </w:rPr>
        <w:t>e</w:t>
      </w:r>
      <w:r w:rsidR="00002556" w:rsidRPr="00BB4A4C">
        <w:rPr>
          <w:lang w:val="fr-FR"/>
        </w:rPr>
        <w:t>.</w:t>
      </w:r>
    </w:p>
    <w:p w14:paraId="5729F0C2" w14:textId="61E75706" w:rsidR="00002556" w:rsidRPr="00BB4A4C" w:rsidRDefault="00002556" w:rsidP="00002556">
      <w:pPr>
        <w:rPr>
          <w:lang w:val="fr-FR"/>
        </w:rPr>
      </w:pPr>
      <w:r w:rsidRPr="00BB4A4C">
        <w:rPr>
          <w:lang w:val="fr-FR"/>
        </w:rPr>
        <w:t xml:space="preserve">Bien que les commissaires de justice </w:t>
      </w:r>
      <w:r w:rsidR="00836B98">
        <w:rPr>
          <w:lang w:val="fr-FR"/>
        </w:rPr>
        <w:t>fussent</w:t>
      </w:r>
      <w:r>
        <w:rPr>
          <w:lang w:val="fr-FR"/>
        </w:rPr>
        <w:t xml:space="preserve"> </w:t>
      </w:r>
      <w:r w:rsidRPr="00BB4A4C">
        <w:rPr>
          <w:lang w:val="fr-FR"/>
        </w:rPr>
        <w:t>de nouveau admis au procès, le principe de l'in</w:t>
      </w:r>
      <w:r w:rsidR="00713FA9">
        <w:rPr>
          <w:lang w:val="fr-FR"/>
        </w:rPr>
        <w:t>struction</w:t>
      </w:r>
      <w:r w:rsidRPr="00BB4A4C">
        <w:rPr>
          <w:lang w:val="fr-FR"/>
        </w:rPr>
        <w:t xml:space="preserve"> continu</w:t>
      </w:r>
      <w:r>
        <w:rPr>
          <w:lang w:val="fr-FR"/>
        </w:rPr>
        <w:t>a</w:t>
      </w:r>
      <w:r w:rsidR="00D04BB2">
        <w:rPr>
          <w:lang w:val="fr-FR"/>
        </w:rPr>
        <w:t>it</w:t>
      </w:r>
      <w:r w:rsidRPr="00BB4A4C">
        <w:rPr>
          <w:lang w:val="fr-FR"/>
        </w:rPr>
        <w:t xml:space="preserve"> de s'appliquer</w:t>
      </w:r>
      <w:r w:rsidR="00C32E4D">
        <w:rPr>
          <w:lang w:val="fr-FR"/>
        </w:rPr>
        <w:t xml:space="preserve">. </w:t>
      </w:r>
      <w:r w:rsidRPr="00BB4A4C">
        <w:rPr>
          <w:lang w:val="fr-FR"/>
        </w:rPr>
        <w:t>Le commissaire</w:t>
      </w:r>
      <w:r w:rsidR="00713FA9">
        <w:rPr>
          <w:lang w:val="fr-FR"/>
        </w:rPr>
        <w:t xml:space="preserve"> de </w:t>
      </w:r>
      <w:r w:rsidRPr="00BB4A4C">
        <w:rPr>
          <w:lang w:val="fr-FR"/>
        </w:rPr>
        <w:t>justice</w:t>
      </w:r>
      <w:r>
        <w:rPr>
          <w:lang w:val="fr-FR"/>
        </w:rPr>
        <w:t xml:space="preserve"> </w:t>
      </w:r>
      <w:r w:rsidR="00C32E4D">
        <w:rPr>
          <w:lang w:val="fr-FR"/>
        </w:rPr>
        <w:t>avait toujours</w:t>
      </w:r>
      <w:r w:rsidRPr="00BB4A4C">
        <w:rPr>
          <w:lang w:val="fr-FR"/>
        </w:rPr>
        <w:t xml:space="preserve"> un rôle subordonné</w:t>
      </w:r>
      <w:r>
        <w:rPr>
          <w:lang w:val="fr-FR"/>
        </w:rPr>
        <w:t xml:space="preserve"> au juge. </w:t>
      </w:r>
      <w:r w:rsidR="00D63BE2">
        <w:rPr>
          <w:lang w:val="fr-FR"/>
        </w:rPr>
        <w:t>Il</w:t>
      </w:r>
      <w:r w:rsidRPr="00BB4A4C">
        <w:rPr>
          <w:lang w:val="fr-FR"/>
        </w:rPr>
        <w:t xml:space="preserve"> était considéré comme un fonctionnaire</w:t>
      </w:r>
      <w:r w:rsidR="00D63BE2">
        <w:rPr>
          <w:lang w:val="fr-FR"/>
        </w:rPr>
        <w:t xml:space="preserve"> et</w:t>
      </w:r>
      <w:r w:rsidRPr="00BB4A4C">
        <w:rPr>
          <w:lang w:val="fr-FR"/>
        </w:rPr>
        <w:t xml:space="preserve"> per</w:t>
      </w:r>
      <w:r w:rsidR="00197102">
        <w:rPr>
          <w:lang w:val="fr-FR"/>
        </w:rPr>
        <w:t>cevait</w:t>
      </w:r>
      <w:r w:rsidRPr="00BB4A4C">
        <w:rPr>
          <w:lang w:val="fr-FR"/>
        </w:rPr>
        <w:t xml:space="preserve"> des honoraires fixés par l'État</w:t>
      </w:r>
      <w:r>
        <w:rPr>
          <w:lang w:val="fr-FR"/>
        </w:rPr>
        <w:t>.</w:t>
      </w:r>
    </w:p>
    <w:p w14:paraId="7F062B5F" w14:textId="676CAE51" w:rsidR="00002556" w:rsidRPr="00BB4A4C" w:rsidRDefault="00002556" w:rsidP="00002556">
      <w:pPr>
        <w:rPr>
          <w:lang w:val="fr-FR"/>
        </w:rPr>
      </w:pPr>
      <w:r>
        <w:rPr>
          <w:lang w:val="fr-FR"/>
        </w:rPr>
        <w:t>Le bon déroulement</w:t>
      </w:r>
      <w:r w:rsidR="00713FA9">
        <w:rPr>
          <w:lang w:val="fr-FR"/>
        </w:rPr>
        <w:t xml:space="preserve"> du procès</w:t>
      </w:r>
      <w:r>
        <w:rPr>
          <w:lang w:val="fr-FR"/>
        </w:rPr>
        <w:t xml:space="preserve"> </w:t>
      </w:r>
      <w:r w:rsidRPr="00BB4A4C">
        <w:rPr>
          <w:lang w:val="fr-FR"/>
        </w:rPr>
        <w:t xml:space="preserve">dépendait </w:t>
      </w:r>
      <w:r w:rsidR="00713FA9">
        <w:rPr>
          <w:lang w:val="fr-FR"/>
        </w:rPr>
        <w:t>ainsi</w:t>
      </w:r>
      <w:r w:rsidRPr="00BB4A4C">
        <w:rPr>
          <w:lang w:val="fr-FR"/>
        </w:rPr>
        <w:t xml:space="preserve"> d</w:t>
      </w:r>
      <w:r>
        <w:rPr>
          <w:lang w:val="fr-FR"/>
        </w:rPr>
        <w:t>u juge, étant en même temps</w:t>
      </w:r>
      <w:r w:rsidRPr="00BB4A4C">
        <w:rPr>
          <w:lang w:val="fr-FR"/>
        </w:rPr>
        <w:t xml:space="preserve"> l'avocat des parties</w:t>
      </w:r>
      <w:r>
        <w:rPr>
          <w:lang w:val="fr-FR"/>
        </w:rPr>
        <w:t xml:space="preserve">. </w:t>
      </w:r>
      <w:r w:rsidR="00F66DD1">
        <w:rPr>
          <w:lang w:val="fr-FR"/>
        </w:rPr>
        <w:t>Mais s</w:t>
      </w:r>
      <w:r w:rsidRPr="00BB4A4C">
        <w:rPr>
          <w:lang w:val="fr-FR"/>
        </w:rPr>
        <w:t xml:space="preserve">a neutralité </w:t>
      </w:r>
      <w:r>
        <w:rPr>
          <w:lang w:val="fr-FR"/>
        </w:rPr>
        <w:t xml:space="preserve">fut </w:t>
      </w:r>
      <w:r w:rsidRPr="00BB4A4C">
        <w:rPr>
          <w:lang w:val="fr-FR"/>
        </w:rPr>
        <w:t xml:space="preserve">de plus en plus </w:t>
      </w:r>
      <w:r>
        <w:rPr>
          <w:lang w:val="fr-FR"/>
        </w:rPr>
        <w:t>questionnée</w:t>
      </w:r>
      <w:r w:rsidR="00713FA9">
        <w:rPr>
          <w:lang w:val="fr-FR"/>
        </w:rPr>
        <w:t xml:space="preserve"> par le</w:t>
      </w:r>
      <w:r w:rsidR="00D63BE2">
        <w:rPr>
          <w:lang w:val="fr-FR"/>
        </w:rPr>
        <w:t>s</w:t>
      </w:r>
      <w:r w:rsidR="00713FA9">
        <w:rPr>
          <w:lang w:val="fr-FR"/>
        </w:rPr>
        <w:t xml:space="preserve"> justiciables</w:t>
      </w:r>
      <w:r w:rsidRPr="00BB4A4C">
        <w:rPr>
          <w:lang w:val="fr-FR"/>
        </w:rPr>
        <w:t xml:space="preserve">. C'est ainsi qu'au début du XIXe siècle, </w:t>
      </w:r>
      <w:r w:rsidR="00713FA9">
        <w:rPr>
          <w:lang w:val="fr-FR"/>
        </w:rPr>
        <w:lastRenderedPageBreak/>
        <w:t>l’on commen</w:t>
      </w:r>
      <w:r w:rsidR="005D7397" w:rsidRPr="005D7397">
        <w:rPr>
          <w:lang w:val="fr-FR"/>
        </w:rPr>
        <w:t>ç</w:t>
      </w:r>
      <w:r w:rsidR="00713FA9">
        <w:rPr>
          <w:lang w:val="fr-FR"/>
        </w:rPr>
        <w:t xml:space="preserve">a à concevoir </w:t>
      </w:r>
      <w:r w:rsidRPr="00BB4A4C">
        <w:rPr>
          <w:lang w:val="fr-FR"/>
        </w:rPr>
        <w:t>l'importance de la représentation juridique. La peur des citoyens de se perdre dans l</w:t>
      </w:r>
      <w:r w:rsidR="00D63BE2">
        <w:rPr>
          <w:lang w:val="fr-FR"/>
        </w:rPr>
        <w:t>e maelstr</w:t>
      </w:r>
      <w:r w:rsidR="00226DF6">
        <w:rPr>
          <w:lang w:val="fr-FR"/>
        </w:rPr>
        <w:t>ö</w:t>
      </w:r>
      <w:r w:rsidR="00D63BE2">
        <w:rPr>
          <w:lang w:val="fr-FR"/>
        </w:rPr>
        <w:t>m de la justice</w:t>
      </w:r>
      <w:r w:rsidRPr="00BB4A4C">
        <w:rPr>
          <w:lang w:val="fr-FR"/>
        </w:rPr>
        <w:t xml:space="preserve"> était grande et dans l'</w:t>
      </w:r>
      <w:r>
        <w:rPr>
          <w:lang w:val="fr-FR"/>
        </w:rPr>
        <w:t>avocat</w:t>
      </w:r>
      <w:r w:rsidR="00620E49">
        <w:rPr>
          <w:lang w:val="fr-FR"/>
        </w:rPr>
        <w:t>,</w:t>
      </w:r>
      <w:r w:rsidRPr="00BB4A4C">
        <w:rPr>
          <w:lang w:val="fr-FR"/>
        </w:rPr>
        <w:t xml:space="preserve"> on </w:t>
      </w:r>
      <w:r w:rsidR="00226DF6">
        <w:rPr>
          <w:lang w:val="fr-FR"/>
        </w:rPr>
        <w:t>voyait</w:t>
      </w:r>
      <w:r w:rsidRPr="00BB4A4C">
        <w:rPr>
          <w:lang w:val="fr-FR"/>
        </w:rPr>
        <w:t xml:space="preserve"> un protecteur efficace</w:t>
      </w:r>
      <w:r w:rsidR="00C32E4D">
        <w:rPr>
          <w:lang w:val="fr-FR"/>
        </w:rPr>
        <w:t>.</w:t>
      </w:r>
    </w:p>
    <w:p w14:paraId="511BE9CF" w14:textId="28B8AD51" w:rsidR="00002556" w:rsidRDefault="00C32E4D" w:rsidP="00C32E4D">
      <w:pPr>
        <w:rPr>
          <w:lang w:val="fr-FR"/>
        </w:rPr>
      </w:pPr>
      <w:r>
        <w:rPr>
          <w:lang w:val="fr-FR"/>
        </w:rPr>
        <w:t>L</w:t>
      </w:r>
      <w:r w:rsidR="002D538B">
        <w:rPr>
          <w:lang w:val="fr-FR"/>
        </w:rPr>
        <w:t>es</w:t>
      </w:r>
      <w:r>
        <w:rPr>
          <w:lang w:val="fr-FR"/>
        </w:rPr>
        <w:t xml:space="preserve"> réforme</w:t>
      </w:r>
      <w:r w:rsidR="002D538B">
        <w:rPr>
          <w:lang w:val="fr-FR"/>
        </w:rPr>
        <w:t>s</w:t>
      </w:r>
      <w:r>
        <w:rPr>
          <w:lang w:val="fr-FR"/>
        </w:rPr>
        <w:t xml:space="preserve"> de </w:t>
      </w:r>
      <w:r w:rsidR="00002556" w:rsidRPr="00BB4A4C">
        <w:rPr>
          <w:lang w:val="fr-FR"/>
        </w:rPr>
        <w:t>1833</w:t>
      </w:r>
      <w:r>
        <w:rPr>
          <w:lang w:val="fr-FR"/>
        </w:rPr>
        <w:t xml:space="preserve"> </w:t>
      </w:r>
      <w:r w:rsidR="002D538B">
        <w:rPr>
          <w:lang w:val="fr-FR"/>
        </w:rPr>
        <w:t xml:space="preserve">et 1846 </w:t>
      </w:r>
      <w:r w:rsidR="00226DF6">
        <w:rPr>
          <w:lang w:val="fr-FR"/>
        </w:rPr>
        <w:t>étaient marquées par</w:t>
      </w:r>
      <w:r w:rsidR="00002556" w:rsidRPr="00BB4A4C">
        <w:rPr>
          <w:lang w:val="fr-FR"/>
        </w:rPr>
        <w:t xml:space="preserve"> </w:t>
      </w:r>
      <w:r>
        <w:rPr>
          <w:lang w:val="fr-FR"/>
        </w:rPr>
        <w:t>l</w:t>
      </w:r>
      <w:r w:rsidR="00E1250E">
        <w:rPr>
          <w:lang w:val="fr-FR"/>
        </w:rPr>
        <w:t xml:space="preserve">’abandon successif du principe de l’instruction et le </w:t>
      </w:r>
      <w:r w:rsidR="00002556" w:rsidRPr="00BB4A4C">
        <w:rPr>
          <w:lang w:val="fr-FR"/>
        </w:rPr>
        <w:t xml:space="preserve">retour </w:t>
      </w:r>
      <w:r w:rsidR="00E1250E">
        <w:rPr>
          <w:lang w:val="fr-FR"/>
        </w:rPr>
        <w:t>au débat contradictoire dans les affaires réservées aux commissaires de justice</w:t>
      </w:r>
      <w:r>
        <w:rPr>
          <w:lang w:val="fr-FR"/>
        </w:rPr>
        <w:t>.</w:t>
      </w:r>
      <w:r w:rsidR="00E1250E">
        <w:rPr>
          <w:lang w:val="fr-FR"/>
        </w:rPr>
        <w:t xml:space="preserve"> </w:t>
      </w:r>
      <w:r w:rsidR="00002556" w:rsidRPr="00BB4A4C">
        <w:rPr>
          <w:lang w:val="fr-FR"/>
        </w:rPr>
        <w:t xml:space="preserve">L'émergence du libéralisme au sein de la </w:t>
      </w:r>
      <w:r w:rsidR="00E1250E">
        <w:rPr>
          <w:lang w:val="fr-FR"/>
        </w:rPr>
        <w:t>société renfor</w:t>
      </w:r>
      <w:r w:rsidR="00CB33F2" w:rsidRPr="005D7397">
        <w:rPr>
          <w:lang w:val="fr-FR"/>
        </w:rPr>
        <w:t>ç</w:t>
      </w:r>
      <w:r w:rsidR="00E1250E">
        <w:rPr>
          <w:lang w:val="fr-FR"/>
        </w:rPr>
        <w:t xml:space="preserve">a </w:t>
      </w:r>
      <w:r w:rsidR="000E5689">
        <w:rPr>
          <w:lang w:val="fr-FR"/>
        </w:rPr>
        <w:t>l’idée de</w:t>
      </w:r>
      <w:r w:rsidR="00002556" w:rsidRPr="00BB4A4C">
        <w:rPr>
          <w:lang w:val="fr-FR"/>
        </w:rPr>
        <w:t xml:space="preserve"> l'avocat</w:t>
      </w:r>
      <w:r w:rsidR="000E5689">
        <w:rPr>
          <w:lang w:val="fr-FR"/>
        </w:rPr>
        <w:t>ure</w:t>
      </w:r>
      <w:r w:rsidR="00002556" w:rsidRPr="00BB4A4C">
        <w:rPr>
          <w:lang w:val="fr-FR"/>
        </w:rPr>
        <w:t xml:space="preserve"> comme un bouclier contre l'arbitraire judiciaire. </w:t>
      </w:r>
      <w:r w:rsidR="00002556">
        <w:rPr>
          <w:lang w:val="fr-FR"/>
        </w:rPr>
        <w:t>C</w:t>
      </w:r>
      <w:r w:rsidR="00002556" w:rsidRPr="00BB4A4C">
        <w:rPr>
          <w:lang w:val="fr-FR"/>
        </w:rPr>
        <w:t xml:space="preserve">e revirement s'explique </w:t>
      </w:r>
      <w:r w:rsidR="00002556">
        <w:rPr>
          <w:lang w:val="fr-FR"/>
        </w:rPr>
        <w:t>aussi</w:t>
      </w:r>
      <w:r w:rsidR="00002556" w:rsidRPr="00BB4A4C">
        <w:rPr>
          <w:lang w:val="fr-FR"/>
        </w:rPr>
        <w:t xml:space="preserve"> par les nombreuses tentatives infructueuses de</w:t>
      </w:r>
      <w:r w:rsidR="00002556">
        <w:rPr>
          <w:lang w:val="fr-FR"/>
        </w:rPr>
        <w:t>s</w:t>
      </w:r>
      <w:r w:rsidR="00002556" w:rsidRPr="00BB4A4C">
        <w:rPr>
          <w:lang w:val="fr-FR"/>
        </w:rPr>
        <w:t xml:space="preserve"> </w:t>
      </w:r>
      <w:r w:rsidR="00002556">
        <w:rPr>
          <w:lang w:val="fr-FR"/>
        </w:rPr>
        <w:t xml:space="preserve">décennies </w:t>
      </w:r>
      <w:r w:rsidR="00F66DD1">
        <w:rPr>
          <w:lang w:val="fr-FR"/>
        </w:rPr>
        <w:t xml:space="preserve">précédentes </w:t>
      </w:r>
      <w:r w:rsidR="00226DF6">
        <w:rPr>
          <w:lang w:val="fr-FR"/>
        </w:rPr>
        <w:t>d’améliorer l’administration de la justice en</w:t>
      </w:r>
      <w:r w:rsidR="00002556" w:rsidRPr="00BB4A4C">
        <w:rPr>
          <w:lang w:val="fr-FR"/>
        </w:rPr>
        <w:t xml:space="preserve"> rend</w:t>
      </w:r>
      <w:r w:rsidR="00226DF6">
        <w:rPr>
          <w:lang w:val="fr-FR"/>
        </w:rPr>
        <w:t>ant</w:t>
      </w:r>
      <w:r w:rsidR="00002556" w:rsidRPr="00BB4A4C">
        <w:rPr>
          <w:lang w:val="fr-FR"/>
        </w:rPr>
        <w:t xml:space="preserve"> </w:t>
      </w:r>
      <w:r w:rsidR="000E5689">
        <w:rPr>
          <w:lang w:val="fr-FR"/>
        </w:rPr>
        <w:t>l’avocature</w:t>
      </w:r>
      <w:r w:rsidR="00002556" w:rsidRPr="00BB4A4C">
        <w:rPr>
          <w:lang w:val="fr-FR"/>
        </w:rPr>
        <w:t xml:space="preserve"> obsolète</w:t>
      </w:r>
      <w:r w:rsidR="00620E49">
        <w:rPr>
          <w:lang w:val="fr-FR"/>
        </w:rPr>
        <w:t>.</w:t>
      </w:r>
      <w:r w:rsidR="00002556" w:rsidRPr="00BB4A4C">
        <w:rPr>
          <w:lang w:val="fr-FR"/>
        </w:rPr>
        <w:t xml:space="preserve"> </w:t>
      </w:r>
      <w:r w:rsidR="00002556">
        <w:rPr>
          <w:lang w:val="fr-FR"/>
        </w:rPr>
        <w:t>Une</w:t>
      </w:r>
      <w:r w:rsidR="00002556" w:rsidRPr="00BB4A4C">
        <w:rPr>
          <w:lang w:val="fr-FR"/>
        </w:rPr>
        <w:t xml:space="preserve"> nouvelle prise de conscience de </w:t>
      </w:r>
      <w:r w:rsidR="00002556">
        <w:rPr>
          <w:lang w:val="fr-FR"/>
        </w:rPr>
        <w:t>leur</w:t>
      </w:r>
      <w:r w:rsidR="00002556" w:rsidRPr="00BB4A4C">
        <w:rPr>
          <w:lang w:val="fr-FR"/>
        </w:rPr>
        <w:t xml:space="preserve"> propre profession </w:t>
      </w:r>
      <w:r w:rsidR="00002556">
        <w:rPr>
          <w:lang w:val="fr-FR"/>
        </w:rPr>
        <w:t>conduisit</w:t>
      </w:r>
      <w:r w:rsidR="00002556" w:rsidRPr="00BB4A4C">
        <w:rPr>
          <w:lang w:val="fr-FR"/>
        </w:rPr>
        <w:t xml:space="preserve"> les avocats à s'organiser et à se constituer en associations </w:t>
      </w:r>
      <w:r w:rsidR="00002556">
        <w:rPr>
          <w:lang w:val="fr-FR"/>
        </w:rPr>
        <w:t xml:space="preserve">pour </w:t>
      </w:r>
      <w:r w:rsidR="00002556" w:rsidRPr="00BB4A4C">
        <w:rPr>
          <w:lang w:val="fr-FR"/>
        </w:rPr>
        <w:t>s'imposer comme un</w:t>
      </w:r>
      <w:r w:rsidR="00002556">
        <w:rPr>
          <w:lang w:val="fr-FR"/>
        </w:rPr>
        <w:t xml:space="preserve"> acteur nécessaire </w:t>
      </w:r>
      <w:r w:rsidR="00002556" w:rsidRPr="00BB4A4C">
        <w:rPr>
          <w:lang w:val="fr-FR"/>
        </w:rPr>
        <w:t xml:space="preserve">dans le système juridique. </w:t>
      </w:r>
      <w:r w:rsidR="00F66DD1">
        <w:rPr>
          <w:lang w:val="fr-FR"/>
        </w:rPr>
        <w:t xml:space="preserve">Cela </w:t>
      </w:r>
      <w:r w:rsidR="00C111C8">
        <w:rPr>
          <w:lang w:val="fr-FR"/>
        </w:rPr>
        <w:t>allait de pair avec l’</w:t>
      </w:r>
      <w:r w:rsidR="005D7397">
        <w:rPr>
          <w:lang w:val="fr-FR"/>
        </w:rPr>
        <w:t>apparition</w:t>
      </w:r>
      <w:r w:rsidR="00C111C8">
        <w:rPr>
          <w:lang w:val="fr-FR"/>
        </w:rPr>
        <w:t xml:space="preserve"> d’une société civile et libérale dans laquelle les avocats jouaient un rôle important.</w:t>
      </w:r>
    </w:p>
    <w:p w14:paraId="52C6D659" w14:textId="77777777" w:rsidR="00620E49" w:rsidRPr="00BB4A4C" w:rsidRDefault="00620E49" w:rsidP="00002556">
      <w:pPr>
        <w:rPr>
          <w:lang w:val="fr-FR"/>
        </w:rPr>
      </w:pPr>
    </w:p>
    <w:p w14:paraId="1E748065" w14:textId="6287CDC9" w:rsidR="00002556" w:rsidRPr="000A1E28" w:rsidRDefault="00C111C8" w:rsidP="00002556">
      <w:pPr>
        <w:rPr>
          <w:u w:val="single"/>
          <w:lang w:val="fr-FR"/>
        </w:rPr>
      </w:pPr>
      <w:r>
        <w:rPr>
          <w:u w:val="single"/>
          <w:lang w:val="fr-FR"/>
        </w:rPr>
        <w:t>5</w:t>
      </w:r>
      <w:r w:rsidR="00002556" w:rsidRPr="000A1E28">
        <w:rPr>
          <w:u w:val="single"/>
          <w:lang w:val="fr-FR"/>
        </w:rPr>
        <w:t xml:space="preserve">. </w:t>
      </w:r>
      <w:r w:rsidR="002D538B">
        <w:rPr>
          <w:u w:val="single"/>
          <w:lang w:val="fr-FR"/>
        </w:rPr>
        <w:t xml:space="preserve">1847-1867 - </w:t>
      </w:r>
      <w:r w:rsidR="00D63BE2" w:rsidRPr="000A1E28">
        <w:rPr>
          <w:u w:val="single"/>
          <w:lang w:val="fr-FR"/>
        </w:rPr>
        <w:t>Co</w:t>
      </w:r>
      <w:r w:rsidR="00002556" w:rsidRPr="000A1E28">
        <w:rPr>
          <w:u w:val="single"/>
          <w:lang w:val="fr-FR"/>
        </w:rPr>
        <w:t>nseils honoraires</w:t>
      </w:r>
      <w:r w:rsidR="00D63BE2" w:rsidRPr="000A1E28">
        <w:rPr>
          <w:u w:val="single"/>
          <w:lang w:val="fr-FR"/>
        </w:rPr>
        <w:t xml:space="preserve"> </w:t>
      </w:r>
      <w:r w:rsidR="002D538B">
        <w:rPr>
          <w:u w:val="single"/>
          <w:lang w:val="fr-FR"/>
        </w:rPr>
        <w:t>et autorégulation, l</w:t>
      </w:r>
      <w:r w:rsidR="002D538B" w:rsidRPr="000A1E28">
        <w:rPr>
          <w:u w:val="single"/>
          <w:lang w:val="fr-FR"/>
        </w:rPr>
        <w:t>’émergence d</w:t>
      </w:r>
      <w:r w:rsidR="002D538B">
        <w:rPr>
          <w:u w:val="single"/>
          <w:lang w:val="fr-FR"/>
        </w:rPr>
        <w:t xml:space="preserve">’un barreau </w:t>
      </w:r>
      <w:r w:rsidR="00226DF6">
        <w:rPr>
          <w:u w:val="single"/>
          <w:lang w:val="fr-FR"/>
        </w:rPr>
        <w:t>autorégulé</w:t>
      </w:r>
    </w:p>
    <w:p w14:paraId="766E5291" w14:textId="3D332CB5" w:rsidR="00002556" w:rsidRPr="00BB4A4C" w:rsidRDefault="00002556" w:rsidP="00002556">
      <w:pPr>
        <w:rPr>
          <w:lang w:val="fr-FR"/>
        </w:rPr>
      </w:pPr>
      <w:r>
        <w:rPr>
          <w:lang w:val="fr-FR"/>
        </w:rPr>
        <w:t>En</w:t>
      </w:r>
      <w:r w:rsidRPr="00BB4A4C">
        <w:rPr>
          <w:lang w:val="fr-FR"/>
        </w:rPr>
        <w:t xml:space="preserve"> 1841, le roi</w:t>
      </w:r>
      <w:r w:rsidR="00C416E3">
        <w:rPr>
          <w:rStyle w:val="Funotenzeichen"/>
          <w:lang w:val="fr-FR"/>
        </w:rPr>
        <w:footnoteReference w:id="11"/>
      </w:r>
      <w:r w:rsidRPr="00BB4A4C">
        <w:rPr>
          <w:lang w:val="fr-FR"/>
        </w:rPr>
        <w:t xml:space="preserve"> </w:t>
      </w:r>
      <w:r w:rsidR="002D538B">
        <w:rPr>
          <w:lang w:val="fr-FR"/>
        </w:rPr>
        <w:t>ordonna</w:t>
      </w:r>
      <w:r w:rsidRPr="00BB4A4C">
        <w:rPr>
          <w:lang w:val="fr-FR"/>
        </w:rPr>
        <w:t xml:space="preserve"> qu'il </w:t>
      </w:r>
      <w:r w:rsidR="005A12D5">
        <w:rPr>
          <w:lang w:val="fr-FR"/>
        </w:rPr>
        <w:t>fû</w:t>
      </w:r>
      <w:r w:rsidRPr="00BB4A4C">
        <w:rPr>
          <w:lang w:val="fr-FR"/>
        </w:rPr>
        <w:t>t absolument nécessaire pour l'existence d'un bon système judiciaire et pour l'amélioration de la réputation des avocats de les réunir dans un</w:t>
      </w:r>
      <w:r>
        <w:rPr>
          <w:lang w:val="fr-FR"/>
        </w:rPr>
        <w:t xml:space="preserve"> collège</w:t>
      </w:r>
      <w:r w:rsidRPr="00BB4A4C">
        <w:rPr>
          <w:lang w:val="fr-FR"/>
        </w:rPr>
        <w:t xml:space="preserve">. </w:t>
      </w:r>
    </w:p>
    <w:p w14:paraId="01628781" w14:textId="791724EB" w:rsidR="00002556" w:rsidRDefault="002D538B" w:rsidP="00002556">
      <w:pPr>
        <w:rPr>
          <w:lang w:val="fr-FR"/>
        </w:rPr>
      </w:pPr>
      <w:r>
        <w:rPr>
          <w:lang w:val="fr-FR"/>
        </w:rPr>
        <w:t xml:space="preserve">Son </w:t>
      </w:r>
      <w:r w:rsidR="00002556" w:rsidRPr="00BB4A4C">
        <w:rPr>
          <w:lang w:val="fr-FR"/>
        </w:rPr>
        <w:t xml:space="preserve">projet </w:t>
      </w:r>
      <w:r>
        <w:rPr>
          <w:lang w:val="fr-FR"/>
        </w:rPr>
        <w:t xml:space="preserve">qui </w:t>
      </w:r>
      <w:proofErr w:type="spellStart"/>
      <w:r>
        <w:rPr>
          <w:lang w:val="fr-FR"/>
        </w:rPr>
        <w:t>entra</w:t>
      </w:r>
      <w:proofErr w:type="spellEnd"/>
      <w:r>
        <w:rPr>
          <w:lang w:val="fr-FR"/>
        </w:rPr>
        <w:t xml:space="preserve"> en vigueur en 1847 </w:t>
      </w:r>
      <w:r w:rsidR="00002556">
        <w:rPr>
          <w:lang w:val="fr-FR"/>
        </w:rPr>
        <w:t>pr</w:t>
      </w:r>
      <w:r w:rsidR="000C68C3">
        <w:rPr>
          <w:lang w:val="fr-FR"/>
        </w:rPr>
        <w:t>é</w:t>
      </w:r>
      <w:r w:rsidR="00002556">
        <w:rPr>
          <w:lang w:val="fr-FR"/>
        </w:rPr>
        <w:t xml:space="preserve">voyait </w:t>
      </w:r>
      <w:r w:rsidR="00002556" w:rsidRPr="00BB4A4C">
        <w:rPr>
          <w:lang w:val="fr-FR"/>
        </w:rPr>
        <w:t xml:space="preserve">de créer des conseils honoraires dotés de pleins pouvoirs disciplinaires dans chaque </w:t>
      </w:r>
      <w:r w:rsidR="00002556">
        <w:rPr>
          <w:lang w:val="fr-FR"/>
        </w:rPr>
        <w:t xml:space="preserve">arrondissement judiciaire d’une </w:t>
      </w:r>
      <w:r w:rsidR="00002556" w:rsidRPr="00BB4A4C">
        <w:rPr>
          <w:lang w:val="fr-FR"/>
        </w:rPr>
        <w:t xml:space="preserve">Cour </w:t>
      </w:r>
      <w:r w:rsidR="00002556">
        <w:rPr>
          <w:lang w:val="fr-FR"/>
        </w:rPr>
        <w:t>d’appel</w:t>
      </w:r>
      <w:r w:rsidR="00002556" w:rsidRPr="00BB4A4C">
        <w:rPr>
          <w:lang w:val="fr-FR"/>
        </w:rPr>
        <w:t xml:space="preserve"> pour sauvegarder les intérêts professionnels des avocats. </w:t>
      </w:r>
      <w:r>
        <w:rPr>
          <w:lang w:val="fr-FR"/>
        </w:rPr>
        <w:t>U</w:t>
      </w:r>
      <w:r w:rsidR="00002556" w:rsidRPr="00BB4A4C">
        <w:rPr>
          <w:lang w:val="fr-FR"/>
        </w:rPr>
        <w:t xml:space="preserve">n conseil de six à dix membres devait être élu parmi les commissaires </w:t>
      </w:r>
      <w:r w:rsidR="005D0FC8">
        <w:rPr>
          <w:lang w:val="fr-FR"/>
        </w:rPr>
        <w:t>de justice</w:t>
      </w:r>
      <w:r w:rsidR="00002556" w:rsidRPr="00BB4A4C">
        <w:rPr>
          <w:lang w:val="fr-FR"/>
        </w:rPr>
        <w:t xml:space="preserve"> et les notaires</w:t>
      </w:r>
      <w:r w:rsidR="00002556">
        <w:rPr>
          <w:lang w:val="fr-FR"/>
        </w:rPr>
        <w:t xml:space="preserve"> pour surveiller l’exercice de la fonction des </w:t>
      </w:r>
      <w:r w:rsidR="00002556" w:rsidRPr="00BB4A4C">
        <w:rPr>
          <w:lang w:val="fr-FR"/>
        </w:rPr>
        <w:t xml:space="preserve">avocats. </w:t>
      </w:r>
      <w:r w:rsidR="00CD4CF0">
        <w:rPr>
          <w:lang w:val="fr-FR"/>
        </w:rPr>
        <w:t>Le pouvoir disciplinaire n’était plus aux mains de</w:t>
      </w:r>
      <w:r w:rsidR="00C416E3">
        <w:rPr>
          <w:lang w:val="fr-FR"/>
        </w:rPr>
        <w:t>s</w:t>
      </w:r>
      <w:r w:rsidR="00CD4CF0">
        <w:rPr>
          <w:lang w:val="fr-FR"/>
        </w:rPr>
        <w:t xml:space="preserve"> magistrat</w:t>
      </w:r>
      <w:r w:rsidR="00C416E3">
        <w:rPr>
          <w:lang w:val="fr-FR"/>
        </w:rPr>
        <w:t>s</w:t>
      </w:r>
      <w:r w:rsidR="00CD4CF0">
        <w:rPr>
          <w:lang w:val="fr-FR"/>
        </w:rPr>
        <w:t>.</w:t>
      </w:r>
    </w:p>
    <w:p w14:paraId="3BF51909" w14:textId="564579C0" w:rsidR="00002556" w:rsidRDefault="00002556" w:rsidP="00002556">
      <w:pPr>
        <w:rPr>
          <w:lang w:val="fr-FR"/>
        </w:rPr>
      </w:pPr>
      <w:r w:rsidRPr="00BB4A4C">
        <w:rPr>
          <w:lang w:val="fr-FR"/>
        </w:rPr>
        <w:t>En 1867, un</w:t>
      </w:r>
      <w:r>
        <w:rPr>
          <w:lang w:val="fr-FR"/>
        </w:rPr>
        <w:t>e r</w:t>
      </w:r>
      <w:r w:rsidR="00370811">
        <w:rPr>
          <w:lang w:val="fr-FR"/>
        </w:rPr>
        <w:t>é</w:t>
      </w:r>
      <w:r>
        <w:rPr>
          <w:lang w:val="fr-FR"/>
        </w:rPr>
        <w:t>glementation pour un b</w:t>
      </w:r>
      <w:r w:rsidRPr="00BB4A4C">
        <w:rPr>
          <w:lang w:val="fr-FR"/>
        </w:rPr>
        <w:t xml:space="preserve">arreau prussien </w:t>
      </w:r>
      <w:r w:rsidR="00370811">
        <w:rPr>
          <w:lang w:val="fr-FR"/>
        </w:rPr>
        <w:t>fut</w:t>
      </w:r>
      <w:r w:rsidRPr="00BB4A4C">
        <w:rPr>
          <w:lang w:val="fr-FR"/>
        </w:rPr>
        <w:t xml:space="preserve"> promulguée, ce qui représentait un pas </w:t>
      </w:r>
      <w:r w:rsidR="000E5689">
        <w:rPr>
          <w:lang w:val="fr-FR"/>
        </w:rPr>
        <w:t xml:space="preserve">important </w:t>
      </w:r>
      <w:r w:rsidRPr="00BB4A4C">
        <w:rPr>
          <w:lang w:val="fr-FR"/>
        </w:rPr>
        <w:t>vers une profession organisée</w:t>
      </w:r>
      <w:r w:rsidR="00C111C8">
        <w:rPr>
          <w:lang w:val="fr-FR"/>
        </w:rPr>
        <w:t xml:space="preserve"> et unie</w:t>
      </w:r>
      <w:r w:rsidRPr="00BB4A4C">
        <w:rPr>
          <w:lang w:val="fr-FR"/>
        </w:rPr>
        <w:t>.</w:t>
      </w:r>
      <w:r w:rsidR="00712015">
        <w:rPr>
          <w:lang w:val="fr-FR"/>
        </w:rPr>
        <w:t xml:space="preserve"> </w:t>
      </w:r>
    </w:p>
    <w:p w14:paraId="4B6858EE" w14:textId="77777777" w:rsidR="00620E49" w:rsidRPr="00BB4A4C" w:rsidRDefault="00620E49" w:rsidP="00002556">
      <w:pPr>
        <w:rPr>
          <w:lang w:val="fr-FR"/>
        </w:rPr>
      </w:pPr>
    </w:p>
    <w:p w14:paraId="36587256" w14:textId="55167A8F" w:rsidR="00002556" w:rsidRPr="000A1E28" w:rsidRDefault="00C111C8" w:rsidP="00002556">
      <w:pPr>
        <w:rPr>
          <w:u w:val="single"/>
          <w:lang w:val="fr-FR"/>
        </w:rPr>
      </w:pPr>
      <w:r>
        <w:rPr>
          <w:u w:val="single"/>
          <w:lang w:val="fr-FR"/>
        </w:rPr>
        <w:t>6</w:t>
      </w:r>
      <w:r w:rsidR="00002556" w:rsidRPr="000A1E28">
        <w:rPr>
          <w:u w:val="single"/>
          <w:lang w:val="fr-FR"/>
        </w:rPr>
        <w:t xml:space="preserve">. </w:t>
      </w:r>
      <w:r w:rsidR="006D1E2B" w:rsidRPr="000A1E28">
        <w:rPr>
          <w:u w:val="single"/>
          <w:lang w:val="fr-FR"/>
        </w:rPr>
        <w:t>1871</w:t>
      </w:r>
      <w:r w:rsidR="00C416E3">
        <w:rPr>
          <w:u w:val="single"/>
          <w:lang w:val="fr-FR"/>
        </w:rPr>
        <w:t>-</w:t>
      </w:r>
      <w:r w:rsidR="006D1E2B">
        <w:rPr>
          <w:u w:val="single"/>
          <w:lang w:val="fr-FR"/>
        </w:rPr>
        <w:t xml:space="preserve">1933 : </w:t>
      </w:r>
      <w:r w:rsidR="008B4A4A">
        <w:rPr>
          <w:u w:val="single"/>
          <w:lang w:val="fr-FR"/>
        </w:rPr>
        <w:t>U</w:t>
      </w:r>
      <w:r w:rsidR="005D0FC8" w:rsidRPr="000A1E28">
        <w:rPr>
          <w:u w:val="single"/>
          <w:lang w:val="fr-FR"/>
        </w:rPr>
        <w:t>ne déontologie nationale et l’indépendance de la profession</w:t>
      </w:r>
    </w:p>
    <w:p w14:paraId="0C8C8C77" w14:textId="568A0AC8" w:rsidR="00002556" w:rsidRDefault="005364E8" w:rsidP="00002556">
      <w:pPr>
        <w:rPr>
          <w:lang w:val="fr-FR"/>
        </w:rPr>
      </w:pPr>
      <w:r w:rsidRPr="005364E8">
        <w:t>En</w:t>
      </w:r>
      <w:r w:rsidR="00892DA8" w:rsidRPr="005364E8">
        <w:t xml:space="preserve"> 1871, le Deutscher Anwaltverein </w:t>
      </w:r>
      <w:proofErr w:type="spellStart"/>
      <w:r w:rsidR="00892DA8" w:rsidRPr="005364E8">
        <w:t>fut</w:t>
      </w:r>
      <w:proofErr w:type="spellEnd"/>
      <w:r w:rsidR="00892DA8" w:rsidRPr="005364E8">
        <w:t xml:space="preserve"> </w:t>
      </w:r>
      <w:proofErr w:type="spellStart"/>
      <w:r w:rsidR="00892DA8" w:rsidRPr="005364E8">
        <w:t>fondé</w:t>
      </w:r>
      <w:proofErr w:type="spellEnd"/>
      <w:r w:rsidR="00892DA8" w:rsidRPr="005364E8">
        <w:t xml:space="preserve">. </w:t>
      </w:r>
      <w:r w:rsidR="00892DA8">
        <w:rPr>
          <w:lang w:val="fr-FR"/>
        </w:rPr>
        <w:t>Un de ses objectifs majeurs était la création d’une déontologie nationale garantissant la liberté de l’avocature</w:t>
      </w:r>
      <w:r w:rsidR="00E37CCA">
        <w:rPr>
          <w:lang w:val="fr-FR"/>
        </w:rPr>
        <w:t xml:space="preserve"> consacrée </w:t>
      </w:r>
      <w:r w:rsidR="00C111C8">
        <w:rPr>
          <w:lang w:val="fr-FR"/>
        </w:rPr>
        <w:t xml:space="preserve">un peu plus tard </w:t>
      </w:r>
      <w:r w:rsidR="00E37CCA">
        <w:rPr>
          <w:lang w:val="fr-FR"/>
        </w:rPr>
        <w:t xml:space="preserve">par la </w:t>
      </w:r>
      <w:proofErr w:type="spellStart"/>
      <w:r w:rsidR="00E37CCA">
        <w:rPr>
          <w:lang w:val="fr-FR"/>
        </w:rPr>
        <w:t>Rechtsanwaltsordnung</w:t>
      </w:r>
      <w:proofErr w:type="spellEnd"/>
      <w:r w:rsidR="00E37CCA">
        <w:rPr>
          <w:lang w:val="fr-FR"/>
        </w:rPr>
        <w:t xml:space="preserve"> de 1878. </w:t>
      </w:r>
      <w:r w:rsidR="00002556" w:rsidRPr="00BB4A4C">
        <w:rPr>
          <w:lang w:val="fr-FR"/>
        </w:rPr>
        <w:t>L</w:t>
      </w:r>
      <w:r w:rsidR="00E37CCA">
        <w:rPr>
          <w:lang w:val="fr-FR"/>
        </w:rPr>
        <w:t xml:space="preserve">es </w:t>
      </w:r>
      <w:r w:rsidR="00002556" w:rsidRPr="00BB4A4C">
        <w:rPr>
          <w:lang w:val="fr-FR"/>
        </w:rPr>
        <w:t>avocat</w:t>
      </w:r>
      <w:r w:rsidR="00E37CCA">
        <w:rPr>
          <w:lang w:val="fr-FR"/>
        </w:rPr>
        <w:t xml:space="preserve">s </w:t>
      </w:r>
      <w:r w:rsidR="00CE6041">
        <w:rPr>
          <w:lang w:val="fr-FR"/>
        </w:rPr>
        <w:t>obt</w:t>
      </w:r>
      <w:r w:rsidR="00432E42">
        <w:rPr>
          <w:lang w:val="fr-FR"/>
        </w:rPr>
        <w:t>inrent</w:t>
      </w:r>
      <w:r w:rsidR="00002556">
        <w:rPr>
          <w:lang w:val="fr-FR"/>
        </w:rPr>
        <w:t xml:space="preserve"> le monopole </w:t>
      </w:r>
      <w:r w:rsidR="00002556" w:rsidRPr="00BB4A4C">
        <w:rPr>
          <w:lang w:val="fr-FR"/>
        </w:rPr>
        <w:t>de représenter les clients devant les tribunaux</w:t>
      </w:r>
      <w:r w:rsidR="00226DF6">
        <w:rPr>
          <w:rStyle w:val="Funotenzeichen"/>
          <w:lang w:val="fr-FR"/>
        </w:rPr>
        <w:footnoteReference w:id="12"/>
      </w:r>
      <w:r w:rsidR="00002556" w:rsidRPr="00BB4A4C">
        <w:rPr>
          <w:lang w:val="fr-FR"/>
        </w:rPr>
        <w:t>.</w:t>
      </w:r>
      <w:r w:rsidR="00002556">
        <w:rPr>
          <w:lang w:val="fr-FR"/>
        </w:rPr>
        <w:t xml:space="preserve"> </w:t>
      </w:r>
      <w:r w:rsidR="00002556" w:rsidRPr="00BB4A4C">
        <w:rPr>
          <w:lang w:val="fr-FR"/>
        </w:rPr>
        <w:t xml:space="preserve">L'admission d'un avocat </w:t>
      </w:r>
      <w:r w:rsidR="00002556">
        <w:rPr>
          <w:lang w:val="fr-FR"/>
        </w:rPr>
        <w:t xml:space="preserve">au barreau </w:t>
      </w:r>
      <w:r w:rsidR="00002556" w:rsidRPr="00BB4A4C">
        <w:rPr>
          <w:lang w:val="fr-FR"/>
        </w:rPr>
        <w:t>n'était plus laissée à la discrétion du tribunal</w:t>
      </w:r>
      <w:r w:rsidR="00002556">
        <w:rPr>
          <w:lang w:val="fr-FR"/>
        </w:rPr>
        <w:t>, mais octroyé</w:t>
      </w:r>
      <w:r w:rsidR="005A12D5">
        <w:rPr>
          <w:lang w:val="fr-FR"/>
        </w:rPr>
        <w:t>e</w:t>
      </w:r>
      <w:r w:rsidR="00002556">
        <w:rPr>
          <w:lang w:val="fr-FR"/>
        </w:rPr>
        <w:t xml:space="preserve"> </w:t>
      </w:r>
      <w:r w:rsidR="00620E49">
        <w:rPr>
          <w:lang w:val="fr-FR"/>
        </w:rPr>
        <w:t xml:space="preserve">d’office </w:t>
      </w:r>
      <w:r w:rsidR="00002556">
        <w:rPr>
          <w:lang w:val="fr-FR"/>
        </w:rPr>
        <w:t xml:space="preserve">si le candidat avait </w:t>
      </w:r>
      <w:r w:rsidR="00197102">
        <w:rPr>
          <w:lang w:val="fr-FR"/>
        </w:rPr>
        <w:t>réussi</w:t>
      </w:r>
      <w:r w:rsidR="00002556">
        <w:rPr>
          <w:lang w:val="fr-FR"/>
        </w:rPr>
        <w:t xml:space="preserve"> l</w:t>
      </w:r>
      <w:r w:rsidR="00002556" w:rsidRPr="00BB4A4C">
        <w:rPr>
          <w:lang w:val="fr-FR"/>
        </w:rPr>
        <w:t>'examen</w:t>
      </w:r>
      <w:r w:rsidR="008457C8">
        <w:rPr>
          <w:rStyle w:val="Funotenzeichen"/>
          <w:lang w:val="fr-FR"/>
        </w:rPr>
        <w:footnoteReference w:id="13"/>
      </w:r>
      <w:r w:rsidR="00002556">
        <w:rPr>
          <w:lang w:val="fr-FR"/>
        </w:rPr>
        <w:t>.</w:t>
      </w:r>
      <w:r w:rsidR="00712015">
        <w:rPr>
          <w:lang w:val="fr-FR"/>
        </w:rPr>
        <w:t xml:space="preserve"> La position n’était plus attribué</w:t>
      </w:r>
      <w:r w:rsidR="000C68C3">
        <w:rPr>
          <w:lang w:val="fr-FR"/>
        </w:rPr>
        <w:t>e</w:t>
      </w:r>
      <w:r w:rsidR="00712015">
        <w:rPr>
          <w:lang w:val="fr-FR"/>
        </w:rPr>
        <w:t xml:space="preserve"> par l’</w:t>
      </w:r>
      <w:r w:rsidR="00CB33F2">
        <w:rPr>
          <w:lang w:val="fr-FR"/>
        </w:rPr>
        <w:t>É</w:t>
      </w:r>
      <w:r w:rsidR="00712015">
        <w:rPr>
          <w:lang w:val="fr-FR"/>
        </w:rPr>
        <w:t>tat dans le cadre d’un numerus clausus.</w:t>
      </w:r>
    </w:p>
    <w:p w14:paraId="0E47EF63" w14:textId="04529B2F" w:rsidR="00002556" w:rsidRDefault="00712015" w:rsidP="00002556">
      <w:pPr>
        <w:rPr>
          <w:lang w:val="fr-FR"/>
        </w:rPr>
      </w:pPr>
      <w:r>
        <w:rPr>
          <w:lang w:val="fr-FR"/>
        </w:rPr>
        <w:lastRenderedPageBreak/>
        <w:t>A</w:t>
      </w:r>
      <w:r w:rsidR="00002556" w:rsidRPr="00BB4A4C">
        <w:rPr>
          <w:lang w:val="fr-FR"/>
        </w:rPr>
        <w:t>vec la loi sur les avocats, l'importan</w:t>
      </w:r>
      <w:r w:rsidR="00CB5791">
        <w:rPr>
          <w:lang w:val="fr-FR"/>
        </w:rPr>
        <w:t>ce de la</w:t>
      </w:r>
      <w:r w:rsidR="00002556" w:rsidRPr="00BB4A4C">
        <w:rPr>
          <w:lang w:val="fr-FR"/>
        </w:rPr>
        <w:t xml:space="preserve"> fonction judiciaire de la profession d'avocat</w:t>
      </w:r>
      <w:r w:rsidR="00E37CCA">
        <w:rPr>
          <w:lang w:val="fr-FR"/>
        </w:rPr>
        <w:t xml:space="preserve"> </w:t>
      </w:r>
      <w:r w:rsidR="00CD4CF0">
        <w:rPr>
          <w:lang w:val="fr-FR"/>
        </w:rPr>
        <w:t xml:space="preserve">et </w:t>
      </w:r>
      <w:r w:rsidR="00CB5791">
        <w:rPr>
          <w:lang w:val="fr-FR"/>
        </w:rPr>
        <w:t xml:space="preserve">de </w:t>
      </w:r>
      <w:r w:rsidR="00CD4CF0" w:rsidRPr="00BB4A4C">
        <w:rPr>
          <w:lang w:val="fr-FR"/>
        </w:rPr>
        <w:t>l'auto</w:t>
      </w:r>
      <w:r w:rsidR="00CD4CF0">
        <w:rPr>
          <w:lang w:val="fr-FR"/>
        </w:rPr>
        <w:t>régulation</w:t>
      </w:r>
      <w:r w:rsidR="00CD4CF0" w:rsidRPr="00BB4A4C">
        <w:rPr>
          <w:lang w:val="fr-FR"/>
        </w:rPr>
        <w:t xml:space="preserve"> des avocats</w:t>
      </w:r>
      <w:r w:rsidR="00CD4CF0">
        <w:rPr>
          <w:lang w:val="fr-FR"/>
        </w:rPr>
        <w:t xml:space="preserve"> </w:t>
      </w:r>
      <w:r w:rsidR="00CD4CF0" w:rsidRPr="00BB4A4C">
        <w:rPr>
          <w:lang w:val="fr-FR"/>
        </w:rPr>
        <w:t>par les barreaux</w:t>
      </w:r>
      <w:r w:rsidR="00CD4CF0">
        <w:rPr>
          <w:lang w:val="fr-FR"/>
        </w:rPr>
        <w:t xml:space="preserve"> </w:t>
      </w:r>
      <w:r w:rsidR="00E37CCA">
        <w:rPr>
          <w:lang w:val="fr-FR"/>
        </w:rPr>
        <w:t>fu</w:t>
      </w:r>
      <w:r w:rsidR="00C416E3">
        <w:rPr>
          <w:lang w:val="fr-FR"/>
        </w:rPr>
        <w:t>t</w:t>
      </w:r>
      <w:r w:rsidR="00CD4CF0">
        <w:rPr>
          <w:lang w:val="fr-FR"/>
        </w:rPr>
        <w:t xml:space="preserve"> </w:t>
      </w:r>
      <w:r w:rsidR="00002556" w:rsidRPr="00BB4A4C">
        <w:rPr>
          <w:lang w:val="fr-FR"/>
        </w:rPr>
        <w:t>reconnue</w:t>
      </w:r>
      <w:r w:rsidR="00CD4CF0">
        <w:rPr>
          <w:lang w:val="fr-FR"/>
        </w:rPr>
        <w:t>s</w:t>
      </w:r>
      <w:r w:rsidR="00002556">
        <w:rPr>
          <w:lang w:val="fr-FR"/>
        </w:rPr>
        <w:t xml:space="preserve"> par l</w:t>
      </w:r>
      <w:r w:rsidR="00CB33F2">
        <w:rPr>
          <w:lang w:val="fr-FR"/>
        </w:rPr>
        <w:t>’É</w:t>
      </w:r>
      <w:r w:rsidR="00002556">
        <w:rPr>
          <w:lang w:val="fr-FR"/>
        </w:rPr>
        <w:t>tat</w:t>
      </w:r>
      <w:r w:rsidR="00002556" w:rsidRPr="00BB4A4C">
        <w:rPr>
          <w:lang w:val="fr-FR"/>
        </w:rPr>
        <w:t xml:space="preserve">. </w:t>
      </w:r>
    </w:p>
    <w:p w14:paraId="1ED6940C" w14:textId="1F5F1F27" w:rsidR="00620E49" w:rsidRDefault="008B4A4A" w:rsidP="00002556">
      <w:pPr>
        <w:rPr>
          <w:lang w:val="fr-FR"/>
        </w:rPr>
      </w:pPr>
      <w:r>
        <w:rPr>
          <w:lang w:val="fr-FR"/>
        </w:rPr>
        <w:t xml:space="preserve">Le débat contradictoire fut rétabli qui garantissait enfin </w:t>
      </w:r>
      <w:r w:rsidR="00E04975">
        <w:rPr>
          <w:lang w:val="fr-FR"/>
        </w:rPr>
        <w:t xml:space="preserve">la </w:t>
      </w:r>
      <w:r>
        <w:rPr>
          <w:lang w:val="fr-FR"/>
        </w:rPr>
        <w:t xml:space="preserve">bonne administration de la justice et sa légitimité par le truchement de la procédure, pour parler avec Niklas </w:t>
      </w:r>
      <w:proofErr w:type="spellStart"/>
      <w:r>
        <w:rPr>
          <w:lang w:val="fr-FR"/>
        </w:rPr>
        <w:t>Luhmann</w:t>
      </w:r>
      <w:proofErr w:type="spellEnd"/>
      <w:r>
        <w:rPr>
          <w:lang w:val="fr-FR"/>
        </w:rPr>
        <w:t xml:space="preserve">. </w:t>
      </w:r>
    </w:p>
    <w:p w14:paraId="041BF81D" w14:textId="49EF5BE6" w:rsidR="008B4A4A" w:rsidRDefault="008457C8" w:rsidP="00002556">
      <w:pPr>
        <w:rPr>
          <w:lang w:val="fr-FR"/>
        </w:rPr>
      </w:pPr>
      <w:r>
        <w:rPr>
          <w:lang w:val="fr-FR"/>
        </w:rPr>
        <w:t xml:space="preserve">En 1932, la loi relative à l’établissement du barreau national fut introduite et promulguée en 1933. </w:t>
      </w:r>
    </w:p>
    <w:p w14:paraId="2C4E17C5" w14:textId="77777777" w:rsidR="008457C8" w:rsidRDefault="008457C8" w:rsidP="00002556">
      <w:pPr>
        <w:rPr>
          <w:u w:val="single"/>
          <w:lang w:val="fr-FR"/>
        </w:rPr>
      </w:pPr>
    </w:p>
    <w:p w14:paraId="75D93FE3" w14:textId="7D5BC3F6" w:rsidR="005D0FC8" w:rsidRPr="000A1E28" w:rsidRDefault="00E04975" w:rsidP="00002556">
      <w:pPr>
        <w:rPr>
          <w:u w:val="single"/>
          <w:lang w:val="fr-FR"/>
        </w:rPr>
      </w:pPr>
      <w:r>
        <w:rPr>
          <w:u w:val="single"/>
          <w:lang w:val="fr-FR"/>
        </w:rPr>
        <w:t>7</w:t>
      </w:r>
      <w:r w:rsidR="005D0FC8" w:rsidRPr="000A1E28">
        <w:rPr>
          <w:u w:val="single"/>
          <w:lang w:val="fr-FR"/>
        </w:rPr>
        <w:t xml:space="preserve">. </w:t>
      </w:r>
      <w:r w:rsidR="006D1E2B" w:rsidRPr="000A1E28">
        <w:rPr>
          <w:u w:val="single"/>
          <w:lang w:val="fr-FR"/>
        </w:rPr>
        <w:t>1933</w:t>
      </w:r>
      <w:r w:rsidR="00C416E3">
        <w:rPr>
          <w:u w:val="single"/>
          <w:lang w:val="fr-FR"/>
        </w:rPr>
        <w:t>-</w:t>
      </w:r>
      <w:proofErr w:type="gramStart"/>
      <w:r w:rsidR="006D1E2B" w:rsidRPr="000A1E28">
        <w:rPr>
          <w:u w:val="single"/>
          <w:lang w:val="fr-FR"/>
        </w:rPr>
        <w:t>1945</w:t>
      </w:r>
      <w:r w:rsidR="006D1E2B">
        <w:rPr>
          <w:u w:val="single"/>
          <w:lang w:val="fr-FR"/>
        </w:rPr>
        <w:t>:</w:t>
      </w:r>
      <w:proofErr w:type="gramEnd"/>
      <w:r w:rsidR="006D1E2B">
        <w:rPr>
          <w:u w:val="single"/>
          <w:lang w:val="fr-FR"/>
        </w:rPr>
        <w:t xml:space="preserve"> </w:t>
      </w:r>
      <w:r w:rsidR="005D0FC8" w:rsidRPr="000A1E28">
        <w:rPr>
          <w:u w:val="single"/>
          <w:lang w:val="fr-FR"/>
        </w:rPr>
        <w:t>Voyage au bout de la nuit</w:t>
      </w:r>
    </w:p>
    <w:p w14:paraId="5E774ABA" w14:textId="6648ABDE" w:rsidR="00E37CCA" w:rsidRDefault="008457C8" w:rsidP="00002556">
      <w:pPr>
        <w:rPr>
          <w:lang w:val="fr-FR"/>
        </w:rPr>
      </w:pPr>
      <w:r>
        <w:rPr>
          <w:lang w:val="fr-FR"/>
        </w:rPr>
        <w:t xml:space="preserve">Hélas, </w:t>
      </w:r>
      <w:r w:rsidR="00343693">
        <w:rPr>
          <w:lang w:val="fr-FR"/>
        </w:rPr>
        <w:t xml:space="preserve">en 1935, </w:t>
      </w:r>
      <w:r>
        <w:rPr>
          <w:lang w:val="fr-FR"/>
        </w:rPr>
        <w:t>le barre</w:t>
      </w:r>
      <w:r w:rsidR="003005BB">
        <w:rPr>
          <w:lang w:val="fr-FR"/>
        </w:rPr>
        <w:t>a</w:t>
      </w:r>
      <w:r>
        <w:rPr>
          <w:lang w:val="fr-FR"/>
        </w:rPr>
        <w:t>u national</w:t>
      </w:r>
      <w:r w:rsidR="00343693">
        <w:rPr>
          <w:lang w:val="fr-FR"/>
        </w:rPr>
        <w:t xml:space="preserve"> fut mis sous tutelle du ministre de la </w:t>
      </w:r>
      <w:r w:rsidR="00D454B1">
        <w:rPr>
          <w:lang w:val="fr-FR"/>
        </w:rPr>
        <w:t>J</w:t>
      </w:r>
      <w:r w:rsidR="00343693">
        <w:rPr>
          <w:lang w:val="fr-FR"/>
        </w:rPr>
        <w:t>ustice</w:t>
      </w:r>
      <w:r w:rsidR="00614BE3">
        <w:rPr>
          <w:lang w:val="fr-FR"/>
        </w:rPr>
        <w:t>. S</w:t>
      </w:r>
      <w:r w:rsidR="00343693">
        <w:rPr>
          <w:lang w:val="fr-FR"/>
        </w:rPr>
        <w:t xml:space="preserve">es organes et son président, tout comme ceux des barreaux régionaux, </w:t>
      </w:r>
      <w:r w:rsidR="00614BE3">
        <w:rPr>
          <w:lang w:val="fr-FR"/>
        </w:rPr>
        <w:t>seraient dorén</w:t>
      </w:r>
      <w:r w:rsidR="00197102">
        <w:rPr>
          <w:lang w:val="fr-FR"/>
        </w:rPr>
        <w:t>a</w:t>
      </w:r>
      <w:r w:rsidR="00614BE3">
        <w:rPr>
          <w:lang w:val="fr-FR"/>
        </w:rPr>
        <w:t xml:space="preserve">vant </w:t>
      </w:r>
      <w:r w:rsidR="00343693">
        <w:rPr>
          <w:lang w:val="fr-FR"/>
        </w:rPr>
        <w:t>nommés par le parti na</w:t>
      </w:r>
      <w:r>
        <w:rPr>
          <w:lang w:val="fr-FR"/>
        </w:rPr>
        <w:t>tional-socialiste</w:t>
      </w:r>
      <w:r w:rsidR="00343693">
        <w:rPr>
          <w:lang w:val="fr-FR"/>
        </w:rPr>
        <w:t xml:space="preserve">. L’avocature devait se faire </w:t>
      </w:r>
      <w:r w:rsidR="00614BE3">
        <w:rPr>
          <w:lang w:val="fr-FR"/>
        </w:rPr>
        <w:t>l’</w:t>
      </w:r>
      <w:r w:rsidR="00343693">
        <w:rPr>
          <w:lang w:val="fr-FR"/>
        </w:rPr>
        <w:t xml:space="preserve">instrument </w:t>
      </w:r>
      <w:r w:rsidR="00614BE3">
        <w:rPr>
          <w:lang w:val="fr-FR"/>
        </w:rPr>
        <w:t xml:space="preserve">de </w:t>
      </w:r>
      <w:r>
        <w:rPr>
          <w:lang w:val="fr-FR"/>
        </w:rPr>
        <w:t xml:space="preserve">son </w:t>
      </w:r>
      <w:r w:rsidR="00614BE3">
        <w:rPr>
          <w:lang w:val="fr-FR"/>
        </w:rPr>
        <w:t>idéologie</w:t>
      </w:r>
      <w:r w:rsidR="00343693">
        <w:rPr>
          <w:lang w:val="fr-FR"/>
        </w:rPr>
        <w:t xml:space="preserve">. </w:t>
      </w:r>
    </w:p>
    <w:p w14:paraId="2717173D" w14:textId="08CC7360" w:rsidR="00620E49" w:rsidRDefault="00614BE3" w:rsidP="00002556">
      <w:pPr>
        <w:rPr>
          <w:lang w:val="fr-FR"/>
        </w:rPr>
      </w:pPr>
      <w:r>
        <w:rPr>
          <w:lang w:val="fr-FR"/>
        </w:rPr>
        <w:t>En 19</w:t>
      </w:r>
      <w:r w:rsidR="005D0FC8">
        <w:rPr>
          <w:lang w:val="fr-FR"/>
        </w:rPr>
        <w:t>3</w:t>
      </w:r>
      <w:r>
        <w:rPr>
          <w:lang w:val="fr-FR"/>
        </w:rPr>
        <w:t>6, l</w:t>
      </w:r>
      <w:r w:rsidR="00343693" w:rsidRPr="00911991">
        <w:rPr>
          <w:lang w:val="fr-FR"/>
        </w:rPr>
        <w:t xml:space="preserve">a </w:t>
      </w:r>
      <w:proofErr w:type="spellStart"/>
      <w:r w:rsidR="00911991" w:rsidRPr="00911991">
        <w:rPr>
          <w:lang w:val="fr-FR"/>
        </w:rPr>
        <w:t>R</w:t>
      </w:r>
      <w:r w:rsidR="00343693" w:rsidRPr="00911991">
        <w:rPr>
          <w:lang w:val="fr-FR"/>
        </w:rPr>
        <w:t>echtsanwaltsordnung</w:t>
      </w:r>
      <w:proofErr w:type="spellEnd"/>
      <w:r w:rsidR="00343693" w:rsidRPr="00911991">
        <w:rPr>
          <w:lang w:val="fr-FR"/>
        </w:rPr>
        <w:t xml:space="preserve"> </w:t>
      </w:r>
      <w:r w:rsidR="00911991" w:rsidRPr="00911991">
        <w:rPr>
          <w:lang w:val="fr-FR"/>
        </w:rPr>
        <w:t xml:space="preserve">fut remplacée par la </w:t>
      </w:r>
      <w:proofErr w:type="spellStart"/>
      <w:r w:rsidR="00911991" w:rsidRPr="00911991">
        <w:rPr>
          <w:lang w:val="fr-FR"/>
        </w:rPr>
        <w:t>Reichsrechtsanwaltsordnung</w:t>
      </w:r>
      <w:proofErr w:type="spellEnd"/>
      <w:r w:rsidR="00911991" w:rsidRPr="00911991">
        <w:rPr>
          <w:lang w:val="fr-FR"/>
        </w:rPr>
        <w:t xml:space="preserve"> qui marqua la</w:t>
      </w:r>
      <w:r w:rsidR="00911991">
        <w:rPr>
          <w:lang w:val="fr-FR"/>
        </w:rPr>
        <w:t xml:space="preserve"> fin de l’avocature indépendante</w:t>
      </w:r>
      <w:r>
        <w:rPr>
          <w:lang w:val="fr-FR"/>
        </w:rPr>
        <w:t>.</w:t>
      </w:r>
      <w:r w:rsidR="00CE6041">
        <w:rPr>
          <w:lang w:val="fr-FR"/>
        </w:rPr>
        <w:t xml:space="preserve"> En même temps, l’on accorda aux avocats le monopole du service juridique qui perdait sa qualité de métier ne requérant, depuis 1869, qu’un enregistrement selon le règlement des métiers et industries</w:t>
      </w:r>
      <w:r w:rsidR="00CE6041">
        <w:rPr>
          <w:rStyle w:val="Funotenzeichen"/>
          <w:lang w:val="fr-FR"/>
        </w:rPr>
        <w:footnoteReference w:id="14"/>
      </w:r>
      <w:r w:rsidR="00CE6041">
        <w:rPr>
          <w:lang w:val="fr-FR"/>
        </w:rPr>
        <w:t>.</w:t>
      </w:r>
      <w:r w:rsidR="00754CF6">
        <w:rPr>
          <w:lang w:val="fr-FR"/>
        </w:rPr>
        <w:t xml:space="preserve"> Cependant, cette loi </w:t>
      </w:r>
      <w:r w:rsidR="00D454B1">
        <w:rPr>
          <w:lang w:val="fr-FR"/>
        </w:rPr>
        <w:t>n’</w:t>
      </w:r>
      <w:r w:rsidR="00754CF6">
        <w:rPr>
          <w:lang w:val="fr-FR"/>
        </w:rPr>
        <w:t>était non pas un instrument pour garantir la qualité des services juridiques, mais pour empêcher les avocats juifs d’</w:t>
      </w:r>
      <w:r w:rsidR="000C68C3">
        <w:rPr>
          <w:lang w:val="fr-FR"/>
        </w:rPr>
        <w:t>exercer</w:t>
      </w:r>
      <w:r w:rsidR="00754CF6">
        <w:rPr>
          <w:lang w:val="fr-FR"/>
        </w:rPr>
        <w:t xml:space="preserve"> leur profession</w:t>
      </w:r>
      <w:r w:rsidR="004C18EA">
        <w:rPr>
          <w:lang w:val="fr-FR"/>
        </w:rPr>
        <w:t xml:space="preserve"> en dehors des tribunaux</w:t>
      </w:r>
      <w:r w:rsidR="00754CF6">
        <w:rPr>
          <w:lang w:val="fr-FR"/>
        </w:rPr>
        <w:t>.</w:t>
      </w:r>
    </w:p>
    <w:p w14:paraId="64CA02C2" w14:textId="28FA5838" w:rsidR="00343693" w:rsidRDefault="005D0FC8" w:rsidP="00002556">
      <w:pPr>
        <w:rPr>
          <w:lang w:val="fr-FR"/>
        </w:rPr>
      </w:pPr>
      <w:r>
        <w:rPr>
          <w:lang w:val="fr-FR"/>
        </w:rPr>
        <w:t xml:space="preserve"> </w:t>
      </w:r>
    </w:p>
    <w:p w14:paraId="7B99CF6B" w14:textId="656B7852" w:rsidR="00E37CCA" w:rsidRPr="000A1E28" w:rsidRDefault="00E04975" w:rsidP="00002556">
      <w:pPr>
        <w:rPr>
          <w:u w:val="single"/>
          <w:lang w:val="fr-FR"/>
        </w:rPr>
      </w:pPr>
      <w:r>
        <w:rPr>
          <w:u w:val="single"/>
          <w:lang w:val="fr-FR"/>
        </w:rPr>
        <w:t>8</w:t>
      </w:r>
      <w:r w:rsidR="005D0FC8" w:rsidRPr="000A1E28">
        <w:rPr>
          <w:u w:val="single"/>
          <w:lang w:val="fr-FR"/>
        </w:rPr>
        <w:t>.</w:t>
      </w:r>
      <w:r>
        <w:rPr>
          <w:u w:val="single"/>
          <w:lang w:val="fr-FR"/>
        </w:rPr>
        <w:t xml:space="preserve"> </w:t>
      </w:r>
      <w:r w:rsidR="006D1E2B">
        <w:rPr>
          <w:u w:val="single"/>
          <w:lang w:val="fr-FR"/>
        </w:rPr>
        <w:t xml:space="preserve">1949 – 2019 : </w:t>
      </w:r>
      <w:r>
        <w:rPr>
          <w:u w:val="single"/>
          <w:lang w:val="fr-FR"/>
        </w:rPr>
        <w:t xml:space="preserve">L’avocat et la </w:t>
      </w:r>
      <w:proofErr w:type="gramStart"/>
      <w:r>
        <w:rPr>
          <w:u w:val="single"/>
          <w:lang w:val="fr-FR"/>
        </w:rPr>
        <w:t>démocratie:</w:t>
      </w:r>
      <w:proofErr w:type="gramEnd"/>
      <w:r>
        <w:rPr>
          <w:u w:val="single"/>
          <w:lang w:val="fr-FR"/>
        </w:rPr>
        <w:t xml:space="preserve"> </w:t>
      </w:r>
      <w:r w:rsidR="005D0FC8" w:rsidRPr="000A1E28">
        <w:rPr>
          <w:u w:val="single"/>
          <w:lang w:val="fr-FR"/>
        </w:rPr>
        <w:t xml:space="preserve">Une liberté chèrement acquise </w:t>
      </w:r>
    </w:p>
    <w:p w14:paraId="496082F4" w14:textId="0EF7133F" w:rsidR="005D0FC8" w:rsidRDefault="005D0FC8" w:rsidP="005D0FC8">
      <w:pPr>
        <w:rPr>
          <w:lang w:val="fr-FR"/>
        </w:rPr>
      </w:pPr>
      <w:r>
        <w:rPr>
          <w:lang w:val="fr-FR"/>
        </w:rPr>
        <w:t>Avec la naissance de la RFA, les avocats retrouv</w:t>
      </w:r>
      <w:r w:rsidR="00C9526B">
        <w:rPr>
          <w:lang w:val="fr-FR"/>
        </w:rPr>
        <w:t>èrent</w:t>
      </w:r>
      <w:r>
        <w:rPr>
          <w:lang w:val="fr-FR"/>
        </w:rPr>
        <w:t xml:space="preserve"> leur indépendance.</w:t>
      </w:r>
      <w:r w:rsidR="00C9526B">
        <w:rPr>
          <w:lang w:val="fr-FR"/>
        </w:rPr>
        <w:t xml:space="preserve"> L’autorégulation </w:t>
      </w:r>
      <w:r w:rsidR="00CB5791">
        <w:rPr>
          <w:lang w:val="fr-FR"/>
        </w:rPr>
        <w:t>par l</w:t>
      </w:r>
      <w:r w:rsidR="00797232">
        <w:rPr>
          <w:lang w:val="fr-FR"/>
        </w:rPr>
        <w:t>es barreau</w:t>
      </w:r>
      <w:r w:rsidR="003005BB">
        <w:rPr>
          <w:lang w:val="fr-FR"/>
        </w:rPr>
        <w:t xml:space="preserve">x </w:t>
      </w:r>
      <w:r w:rsidR="00CB5791">
        <w:rPr>
          <w:lang w:val="fr-FR"/>
        </w:rPr>
        <w:t xml:space="preserve">régionaux </w:t>
      </w:r>
      <w:r w:rsidR="00C9526B">
        <w:rPr>
          <w:lang w:val="fr-FR"/>
        </w:rPr>
        <w:t>fut restauré</w:t>
      </w:r>
      <w:r w:rsidR="003005BB">
        <w:rPr>
          <w:lang w:val="fr-FR"/>
        </w:rPr>
        <w:t>e</w:t>
      </w:r>
      <w:r w:rsidR="00797232">
        <w:rPr>
          <w:lang w:val="fr-FR"/>
        </w:rPr>
        <w:t xml:space="preserve"> en 1949, le barreau féd</w:t>
      </w:r>
      <w:r w:rsidR="000C68C3">
        <w:rPr>
          <w:lang w:val="fr-FR"/>
        </w:rPr>
        <w:t>é</w:t>
      </w:r>
      <w:r w:rsidR="00797232">
        <w:rPr>
          <w:lang w:val="fr-FR"/>
        </w:rPr>
        <w:t xml:space="preserve">ral </w:t>
      </w:r>
      <w:r w:rsidR="00CB5791">
        <w:rPr>
          <w:lang w:val="fr-FR"/>
        </w:rPr>
        <w:t xml:space="preserve">vit le jour </w:t>
      </w:r>
      <w:r w:rsidR="00797232">
        <w:rPr>
          <w:lang w:val="fr-FR"/>
        </w:rPr>
        <w:t xml:space="preserve">en 1959. </w:t>
      </w:r>
      <w:r>
        <w:rPr>
          <w:lang w:val="fr-FR"/>
        </w:rPr>
        <w:t>Nos confrères en Allemagne de l’Est ne jouissaient malh</w:t>
      </w:r>
      <w:r w:rsidR="00CA22AC">
        <w:rPr>
          <w:lang w:val="fr-FR"/>
        </w:rPr>
        <w:t>eu</w:t>
      </w:r>
      <w:r>
        <w:rPr>
          <w:lang w:val="fr-FR"/>
        </w:rPr>
        <w:t>r</w:t>
      </w:r>
      <w:r w:rsidR="00CA22AC">
        <w:rPr>
          <w:lang w:val="fr-FR"/>
        </w:rPr>
        <w:t>e</w:t>
      </w:r>
      <w:r>
        <w:rPr>
          <w:lang w:val="fr-FR"/>
        </w:rPr>
        <w:t>usem</w:t>
      </w:r>
      <w:r w:rsidR="00CA22AC">
        <w:rPr>
          <w:lang w:val="fr-FR"/>
        </w:rPr>
        <w:t xml:space="preserve">ent pas de </w:t>
      </w:r>
      <w:r>
        <w:rPr>
          <w:lang w:val="fr-FR"/>
        </w:rPr>
        <w:t>ce privilège</w:t>
      </w:r>
      <w:r w:rsidR="00CA22AC">
        <w:rPr>
          <w:lang w:val="fr-FR"/>
        </w:rPr>
        <w:t xml:space="preserve"> avant </w:t>
      </w:r>
      <w:r w:rsidR="00E04975">
        <w:rPr>
          <w:lang w:val="fr-FR"/>
        </w:rPr>
        <w:t xml:space="preserve">la </w:t>
      </w:r>
      <w:r w:rsidR="00797232">
        <w:rPr>
          <w:lang w:val="fr-FR"/>
        </w:rPr>
        <w:t>réunification</w:t>
      </w:r>
      <w:r w:rsidR="00F119B0">
        <w:rPr>
          <w:lang w:val="fr-FR"/>
        </w:rPr>
        <w:t xml:space="preserve"> en 1990</w:t>
      </w:r>
      <w:r>
        <w:rPr>
          <w:lang w:val="fr-FR"/>
        </w:rPr>
        <w:t>.</w:t>
      </w:r>
    </w:p>
    <w:p w14:paraId="7EB5E630" w14:textId="3B741CE9" w:rsidR="000A1E28" w:rsidRDefault="000E5689" w:rsidP="000A1E28">
      <w:pPr>
        <w:rPr>
          <w:lang w:val="fr-FR"/>
        </w:rPr>
      </w:pPr>
      <w:r w:rsidRPr="00BB4A4C">
        <w:rPr>
          <w:lang w:val="fr-FR"/>
        </w:rPr>
        <w:t xml:space="preserve">L'indépendance de la profession et le droit inconditionnel, </w:t>
      </w:r>
      <w:r w:rsidR="00E04975">
        <w:rPr>
          <w:lang w:val="fr-FR"/>
        </w:rPr>
        <w:t>en même temps</w:t>
      </w:r>
      <w:r w:rsidRPr="00BB4A4C">
        <w:rPr>
          <w:lang w:val="fr-FR"/>
        </w:rPr>
        <w:t xml:space="preserve"> </w:t>
      </w:r>
      <w:r w:rsidR="005364E8">
        <w:rPr>
          <w:lang w:val="fr-FR"/>
        </w:rPr>
        <w:t>le devoir</w:t>
      </w:r>
      <w:r w:rsidRPr="00BB4A4C">
        <w:rPr>
          <w:lang w:val="fr-FR"/>
        </w:rPr>
        <w:t xml:space="preserve"> de respecter les valeurs fondamentales de la profession d'avocat, </w:t>
      </w:r>
      <w:r w:rsidR="00C9526B">
        <w:rPr>
          <w:lang w:val="fr-FR"/>
        </w:rPr>
        <w:t>furent</w:t>
      </w:r>
      <w:r w:rsidRPr="00BB4A4C">
        <w:rPr>
          <w:lang w:val="fr-FR"/>
        </w:rPr>
        <w:t xml:space="preserve"> </w:t>
      </w:r>
      <w:r w:rsidR="00C9526B">
        <w:rPr>
          <w:lang w:val="fr-FR"/>
        </w:rPr>
        <w:t xml:space="preserve">reconnus </w:t>
      </w:r>
      <w:r w:rsidRPr="00BB4A4C">
        <w:rPr>
          <w:lang w:val="fr-FR"/>
        </w:rPr>
        <w:t xml:space="preserve">par </w:t>
      </w:r>
      <w:r w:rsidR="00C9526B">
        <w:rPr>
          <w:lang w:val="fr-FR"/>
        </w:rPr>
        <w:t>plusieurs</w:t>
      </w:r>
      <w:r w:rsidRPr="00BB4A4C">
        <w:rPr>
          <w:lang w:val="fr-FR"/>
        </w:rPr>
        <w:t xml:space="preserve"> décisions de la Cour </w:t>
      </w:r>
      <w:r w:rsidR="00E04975">
        <w:rPr>
          <w:lang w:val="fr-FR"/>
        </w:rPr>
        <w:t>C</w:t>
      </w:r>
      <w:r w:rsidRPr="00BB4A4C">
        <w:rPr>
          <w:lang w:val="fr-FR"/>
        </w:rPr>
        <w:t xml:space="preserve">onstitutionnelle allemande </w:t>
      </w:r>
      <w:r w:rsidR="00C9526B">
        <w:rPr>
          <w:rStyle w:val="Funotenzeichen"/>
          <w:lang w:val="fr-FR"/>
        </w:rPr>
        <w:footnoteReference w:id="15"/>
      </w:r>
      <w:r w:rsidR="003005BB">
        <w:rPr>
          <w:lang w:val="fr-FR"/>
        </w:rPr>
        <w:t xml:space="preserve"> </w:t>
      </w:r>
      <w:r w:rsidRPr="00BB4A4C">
        <w:rPr>
          <w:lang w:val="fr-FR"/>
        </w:rPr>
        <w:t xml:space="preserve">et par la Cour </w:t>
      </w:r>
      <w:r w:rsidR="00086825">
        <w:rPr>
          <w:lang w:val="fr-FR"/>
        </w:rPr>
        <w:t>E</w:t>
      </w:r>
      <w:r w:rsidRPr="00BB4A4C">
        <w:rPr>
          <w:lang w:val="fr-FR"/>
        </w:rPr>
        <w:t xml:space="preserve">uropéenne de </w:t>
      </w:r>
      <w:r w:rsidR="00086825">
        <w:rPr>
          <w:lang w:val="fr-FR"/>
        </w:rPr>
        <w:t>J</w:t>
      </w:r>
      <w:r w:rsidRPr="00BB4A4C">
        <w:rPr>
          <w:lang w:val="fr-FR"/>
        </w:rPr>
        <w:t>ustice dans l'arrêt Wouters</w:t>
      </w:r>
      <w:r w:rsidR="003005BB">
        <w:rPr>
          <w:rStyle w:val="Funotenzeichen"/>
          <w:lang w:val="fr-FR"/>
        </w:rPr>
        <w:footnoteReference w:id="16"/>
      </w:r>
      <w:r w:rsidRPr="00BB4A4C">
        <w:rPr>
          <w:lang w:val="fr-FR"/>
        </w:rPr>
        <w:t>.</w:t>
      </w:r>
      <w:r w:rsidR="00797232">
        <w:rPr>
          <w:lang w:val="fr-FR"/>
        </w:rPr>
        <w:t xml:space="preserve"> Le serment de l’avocat</w:t>
      </w:r>
      <w:r w:rsidR="00F119B0">
        <w:rPr>
          <w:lang w:val="fr-FR"/>
        </w:rPr>
        <w:t>, presté devant le président du barr</w:t>
      </w:r>
      <w:r w:rsidR="00197102">
        <w:rPr>
          <w:lang w:val="fr-FR"/>
        </w:rPr>
        <w:t>e</w:t>
      </w:r>
      <w:r w:rsidR="00F119B0">
        <w:rPr>
          <w:lang w:val="fr-FR"/>
        </w:rPr>
        <w:t xml:space="preserve">au, </w:t>
      </w:r>
      <w:r w:rsidR="00797232">
        <w:rPr>
          <w:lang w:val="fr-FR"/>
        </w:rPr>
        <w:t xml:space="preserve">nous oblige à respecter </w:t>
      </w:r>
      <w:r w:rsidR="003005BB">
        <w:rPr>
          <w:lang w:val="fr-FR"/>
        </w:rPr>
        <w:t xml:space="preserve">la déontologie </w:t>
      </w:r>
      <w:r w:rsidR="00797232">
        <w:rPr>
          <w:lang w:val="fr-FR"/>
        </w:rPr>
        <w:t xml:space="preserve">et </w:t>
      </w:r>
      <w:r w:rsidR="003919AF">
        <w:rPr>
          <w:lang w:val="fr-FR"/>
        </w:rPr>
        <w:t>à</w:t>
      </w:r>
      <w:r w:rsidR="003005BB">
        <w:rPr>
          <w:lang w:val="fr-FR"/>
        </w:rPr>
        <w:t xml:space="preserve"> </w:t>
      </w:r>
      <w:r w:rsidR="00797232">
        <w:rPr>
          <w:lang w:val="fr-FR"/>
        </w:rPr>
        <w:t>défendre l</w:t>
      </w:r>
      <w:r w:rsidR="003005BB">
        <w:rPr>
          <w:lang w:val="fr-FR"/>
        </w:rPr>
        <w:t xml:space="preserve">es valeurs </w:t>
      </w:r>
      <w:r w:rsidR="00797232">
        <w:rPr>
          <w:lang w:val="fr-FR"/>
        </w:rPr>
        <w:t>démocrati</w:t>
      </w:r>
      <w:r w:rsidR="003005BB">
        <w:rPr>
          <w:lang w:val="fr-FR"/>
        </w:rPr>
        <w:t>que</w:t>
      </w:r>
      <w:r w:rsidR="00197102">
        <w:rPr>
          <w:lang w:val="fr-FR"/>
        </w:rPr>
        <w:t>s</w:t>
      </w:r>
      <w:r w:rsidR="003005BB">
        <w:rPr>
          <w:lang w:val="fr-FR"/>
        </w:rPr>
        <w:t xml:space="preserve"> de la constitution</w:t>
      </w:r>
      <w:r w:rsidR="009963B4">
        <w:rPr>
          <w:rStyle w:val="Funotenzeichen"/>
          <w:lang w:val="fr-FR"/>
        </w:rPr>
        <w:footnoteReference w:id="17"/>
      </w:r>
      <w:r w:rsidR="003005BB">
        <w:rPr>
          <w:lang w:val="fr-FR"/>
        </w:rPr>
        <w:t>.</w:t>
      </w:r>
      <w:r w:rsidR="00754CF6">
        <w:rPr>
          <w:lang w:val="fr-FR"/>
        </w:rPr>
        <w:t xml:space="preserve"> Le maintien du monopole des avocats après 1945</w:t>
      </w:r>
      <w:r w:rsidR="004C18EA">
        <w:rPr>
          <w:rStyle w:val="Funotenzeichen"/>
          <w:lang w:val="fr-FR"/>
        </w:rPr>
        <w:footnoteReference w:id="18"/>
      </w:r>
      <w:r w:rsidR="00754CF6">
        <w:rPr>
          <w:lang w:val="fr-FR"/>
        </w:rPr>
        <w:t xml:space="preserve">, eu égard à </w:t>
      </w:r>
      <w:r w:rsidR="002C2471">
        <w:rPr>
          <w:lang w:val="fr-FR"/>
        </w:rPr>
        <w:t>ses prémices</w:t>
      </w:r>
      <w:r w:rsidR="00754CF6">
        <w:rPr>
          <w:lang w:val="fr-FR"/>
        </w:rPr>
        <w:t xml:space="preserve">, </w:t>
      </w:r>
      <w:r w:rsidR="001776EE">
        <w:rPr>
          <w:lang w:val="fr-FR"/>
        </w:rPr>
        <w:t xml:space="preserve">nous rappelle notre devoir de </w:t>
      </w:r>
      <w:r w:rsidR="00754CF6">
        <w:rPr>
          <w:lang w:val="fr-FR"/>
        </w:rPr>
        <w:t>probité</w:t>
      </w:r>
      <w:r w:rsidR="001776EE">
        <w:rPr>
          <w:lang w:val="fr-FR"/>
        </w:rPr>
        <w:t xml:space="preserve"> pour le mériter</w:t>
      </w:r>
      <w:r w:rsidR="00204E5E">
        <w:rPr>
          <w:lang w:val="fr-FR"/>
        </w:rPr>
        <w:t>.</w:t>
      </w:r>
    </w:p>
    <w:p w14:paraId="4586F3E1" w14:textId="77777777" w:rsidR="00086825" w:rsidRPr="00BB4A4C" w:rsidRDefault="00086825" w:rsidP="000A1E28">
      <w:pPr>
        <w:rPr>
          <w:lang w:val="fr-FR"/>
        </w:rPr>
      </w:pPr>
    </w:p>
    <w:p w14:paraId="2A9EC6F5" w14:textId="77777777" w:rsidR="00086825" w:rsidRPr="00086825" w:rsidRDefault="00086825" w:rsidP="00086825">
      <w:pPr>
        <w:pStyle w:val="Listenabsatz"/>
        <w:numPr>
          <w:ilvl w:val="0"/>
          <w:numId w:val="3"/>
        </w:numPr>
        <w:rPr>
          <w:b/>
          <w:bCs/>
        </w:rPr>
      </w:pPr>
      <w:r w:rsidRPr="00086825">
        <w:rPr>
          <w:b/>
          <w:bCs/>
        </w:rPr>
        <w:lastRenderedPageBreak/>
        <w:t>Conclusion</w:t>
      </w:r>
    </w:p>
    <w:p w14:paraId="3ECD706F" w14:textId="5EAFFD43" w:rsidR="00CB33F2" w:rsidRDefault="00614BE3" w:rsidP="00CB33F2">
      <w:pPr>
        <w:rPr>
          <w:lang w:val="fr-FR"/>
        </w:rPr>
      </w:pPr>
      <w:r w:rsidRPr="00086825">
        <w:rPr>
          <w:lang w:val="fr-FR"/>
        </w:rPr>
        <w:t xml:space="preserve">L'histoire des réformes judiciaires en Prusse et Allemagne démontre l'importance de la libre avocature pour le bon fonctionnement de la justice. </w:t>
      </w:r>
      <w:r w:rsidRPr="002D538B">
        <w:rPr>
          <w:lang w:val="fr-FR"/>
        </w:rPr>
        <w:t>Au vu de cette expérience historique, un constat s’</w:t>
      </w:r>
      <w:r w:rsidR="003005BB">
        <w:rPr>
          <w:lang w:val="fr-FR"/>
        </w:rPr>
        <w:t>i</w:t>
      </w:r>
      <w:r w:rsidRPr="002D538B">
        <w:rPr>
          <w:lang w:val="fr-FR"/>
        </w:rPr>
        <w:t>mpose, à savoir que l'auto</w:t>
      </w:r>
      <w:r w:rsidR="00D454B1">
        <w:rPr>
          <w:lang w:val="fr-FR"/>
        </w:rPr>
        <w:t>régulation</w:t>
      </w:r>
      <w:r w:rsidRPr="002D538B">
        <w:rPr>
          <w:lang w:val="fr-FR"/>
        </w:rPr>
        <w:t xml:space="preserve"> de l’avocatur</w:t>
      </w:r>
      <w:r w:rsidR="006D1E2B">
        <w:rPr>
          <w:lang w:val="fr-FR"/>
        </w:rPr>
        <w:t>e</w:t>
      </w:r>
      <w:r w:rsidRPr="002D538B">
        <w:rPr>
          <w:lang w:val="fr-FR"/>
        </w:rPr>
        <w:t xml:space="preserve"> est un instrument nécessaire pour préserver les valeurs fondamentales de notre profession. </w:t>
      </w:r>
      <w:r w:rsidRPr="00086825">
        <w:rPr>
          <w:lang w:val="fr-FR"/>
        </w:rPr>
        <w:t>L’histoire de la profession pendant le 3</w:t>
      </w:r>
      <w:r w:rsidR="00D454B1">
        <w:rPr>
          <w:vertAlign w:val="superscript"/>
          <w:lang w:val="fr-FR"/>
        </w:rPr>
        <w:t>ème</w:t>
      </w:r>
      <w:r w:rsidRPr="00086825">
        <w:rPr>
          <w:lang w:val="fr-FR"/>
        </w:rPr>
        <w:t xml:space="preserve"> Reich et en Allemagne de l’Est </w:t>
      </w:r>
      <w:r w:rsidR="006D1E2B">
        <w:rPr>
          <w:lang w:val="fr-FR"/>
        </w:rPr>
        <w:t xml:space="preserve">du temps </w:t>
      </w:r>
      <w:r w:rsidRPr="00086825">
        <w:rPr>
          <w:lang w:val="fr-FR"/>
        </w:rPr>
        <w:t xml:space="preserve">du régime communiste a fourni plus de preuves </w:t>
      </w:r>
      <w:r w:rsidR="00962A32" w:rsidRPr="00086825">
        <w:rPr>
          <w:lang w:val="fr-FR"/>
        </w:rPr>
        <w:t>qu’il n’en faut</w:t>
      </w:r>
      <w:r w:rsidRPr="00086825">
        <w:rPr>
          <w:lang w:val="fr-FR"/>
        </w:rPr>
        <w:t xml:space="preserve"> de l’importance d’une avocature libre et indépendante dans un </w:t>
      </w:r>
      <w:r w:rsidR="00623CDD">
        <w:rPr>
          <w:lang w:val="fr-FR"/>
        </w:rPr>
        <w:t>É</w:t>
      </w:r>
      <w:r w:rsidRPr="00086825">
        <w:rPr>
          <w:lang w:val="fr-FR"/>
        </w:rPr>
        <w:t>tat de droit</w:t>
      </w:r>
      <w:r w:rsidR="00086825" w:rsidRPr="00086825">
        <w:rPr>
          <w:lang w:val="fr-FR"/>
        </w:rPr>
        <w:t xml:space="preserve"> </w:t>
      </w:r>
      <w:r w:rsidR="00086825">
        <w:rPr>
          <w:lang w:val="fr-FR"/>
        </w:rPr>
        <w:t>qui se doit d’a</w:t>
      </w:r>
      <w:r w:rsidR="006D2FEF">
        <w:rPr>
          <w:lang w:val="fr-FR"/>
        </w:rPr>
        <w:t>d</w:t>
      </w:r>
      <w:r w:rsidR="00086825">
        <w:rPr>
          <w:lang w:val="fr-FR"/>
        </w:rPr>
        <w:t>ministrer une justice légitime, équitable et de qualité</w:t>
      </w:r>
      <w:r w:rsidRPr="00086825">
        <w:rPr>
          <w:lang w:val="fr-FR"/>
        </w:rPr>
        <w:t>.</w:t>
      </w:r>
      <w:r w:rsidR="00CB33F2" w:rsidRPr="00CB33F2">
        <w:rPr>
          <w:lang w:val="fr-FR"/>
        </w:rPr>
        <w:t xml:space="preserve"> </w:t>
      </w:r>
      <w:r w:rsidR="00CB33F2" w:rsidRPr="00BB4A4C">
        <w:rPr>
          <w:lang w:val="fr-FR"/>
        </w:rPr>
        <w:t>L</w:t>
      </w:r>
      <w:r w:rsidR="00CB33F2">
        <w:rPr>
          <w:lang w:val="fr-FR"/>
        </w:rPr>
        <w:t xml:space="preserve">e manteau noir du </w:t>
      </w:r>
      <w:r w:rsidR="00CB33F2" w:rsidRPr="00BB4A4C">
        <w:rPr>
          <w:lang w:val="fr-FR"/>
        </w:rPr>
        <w:t>v</w:t>
      </w:r>
      <w:r w:rsidR="00CB33F2">
        <w:rPr>
          <w:lang w:val="fr-FR"/>
        </w:rPr>
        <w:t>ilain</w:t>
      </w:r>
      <w:r w:rsidR="00CB33F2" w:rsidRPr="00BB4A4C">
        <w:rPr>
          <w:lang w:val="fr-FR"/>
        </w:rPr>
        <w:t xml:space="preserve"> dev</w:t>
      </w:r>
      <w:r w:rsidR="001776EE">
        <w:rPr>
          <w:lang w:val="fr-FR"/>
        </w:rPr>
        <w:t>int</w:t>
      </w:r>
      <w:r w:rsidR="00CB33F2" w:rsidRPr="00BB4A4C">
        <w:rPr>
          <w:lang w:val="fr-FR"/>
        </w:rPr>
        <w:t xml:space="preserve"> </w:t>
      </w:r>
      <w:r w:rsidR="005364E8">
        <w:rPr>
          <w:lang w:val="fr-FR"/>
        </w:rPr>
        <w:t xml:space="preserve">à la fin </w:t>
      </w:r>
      <w:r w:rsidR="00CB33F2" w:rsidRPr="00BB4A4C">
        <w:rPr>
          <w:lang w:val="fr-FR"/>
        </w:rPr>
        <w:t>la robe d'honneur d'un</w:t>
      </w:r>
      <w:r w:rsidR="00CB33F2">
        <w:rPr>
          <w:lang w:val="fr-FR"/>
        </w:rPr>
        <w:t>e profession fière de ses valeurs.</w:t>
      </w:r>
    </w:p>
    <w:p w14:paraId="2C281ACB" w14:textId="58883DCE" w:rsidR="005203BA" w:rsidRPr="002C2471" w:rsidRDefault="005203BA" w:rsidP="00002556">
      <w:pPr>
        <w:rPr>
          <w:rStyle w:val="Fett"/>
          <w:b w:val="0"/>
          <w:bCs w:val="0"/>
          <w:lang w:val="fr-FR"/>
        </w:rPr>
      </w:pPr>
      <w:r w:rsidRPr="002C2471">
        <w:rPr>
          <w:rStyle w:val="Hervorhebung"/>
          <w:i w:val="0"/>
          <w:iCs w:val="0"/>
          <w:lang w:val="en-US"/>
        </w:rPr>
        <w:t xml:space="preserve">Winston Churchill </w:t>
      </w:r>
      <w:proofErr w:type="spellStart"/>
      <w:r w:rsidRPr="002C2471">
        <w:rPr>
          <w:rStyle w:val="Hervorhebung"/>
          <w:i w:val="0"/>
          <w:iCs w:val="0"/>
          <w:lang w:val="en-US"/>
        </w:rPr>
        <w:t>disait</w:t>
      </w:r>
      <w:proofErr w:type="spellEnd"/>
      <w:r w:rsidRPr="002C2471">
        <w:rPr>
          <w:rStyle w:val="Hervorhebung"/>
          <w:i w:val="0"/>
          <w:iCs w:val="0"/>
          <w:lang w:val="en-US"/>
        </w:rPr>
        <w:t xml:space="preserve"> en </w:t>
      </w:r>
      <w:proofErr w:type="gramStart"/>
      <w:r w:rsidRPr="002C2471">
        <w:rPr>
          <w:rStyle w:val="Hervorhebung"/>
          <w:i w:val="0"/>
          <w:iCs w:val="0"/>
          <w:lang w:val="en-US"/>
        </w:rPr>
        <w:t>1947 :</w:t>
      </w:r>
      <w:proofErr w:type="gramEnd"/>
      <w:r w:rsidRPr="002C2471">
        <w:rPr>
          <w:rStyle w:val="Hervorhebung"/>
          <w:i w:val="0"/>
          <w:iCs w:val="0"/>
          <w:lang w:val="en-US"/>
        </w:rPr>
        <w:t xml:space="preserve"> « </w:t>
      </w:r>
      <w:r w:rsidR="002C2471" w:rsidRPr="00623CDD">
        <w:rPr>
          <w:i/>
          <w:iCs/>
          <w:lang w:val="en-GB"/>
        </w:rPr>
        <w:t>Many forms of Government have been tried, and will be tried in this world of sin and woe. No one pretends that democracy is perfect or all-wise. Indeed, it has been sai</w:t>
      </w:r>
      <w:r w:rsidR="002C2471">
        <w:rPr>
          <w:i/>
          <w:iCs/>
          <w:lang w:val="en-GB"/>
        </w:rPr>
        <w:t>d</w:t>
      </w:r>
      <w:r w:rsidR="002C2471" w:rsidRPr="00623CDD">
        <w:rPr>
          <w:i/>
          <w:iCs/>
          <w:lang w:val="en-GB"/>
        </w:rPr>
        <w:t xml:space="preserve"> that democracy is the worst form of Government except all those other forms that have been tried from time to time</w:t>
      </w:r>
      <w:r w:rsidR="004E5B41">
        <w:rPr>
          <w:rStyle w:val="Funotenzeichen"/>
          <w:lang w:val="fr-FR"/>
        </w:rPr>
        <w:footnoteReference w:id="19"/>
      </w:r>
      <w:r w:rsidR="002C2471" w:rsidRPr="002C2471">
        <w:rPr>
          <w:rStyle w:val="Fett"/>
          <w:b w:val="0"/>
          <w:bCs w:val="0"/>
          <w:lang w:val="en-US"/>
        </w:rPr>
        <w:t>».</w:t>
      </w:r>
      <w:r w:rsidRPr="002C2471">
        <w:rPr>
          <w:rStyle w:val="Fett"/>
          <w:b w:val="0"/>
          <w:bCs w:val="0"/>
          <w:lang w:val="en-US"/>
        </w:rPr>
        <w:t xml:space="preserve"> </w:t>
      </w:r>
      <w:r w:rsidRPr="002C2471">
        <w:rPr>
          <w:rStyle w:val="Fett"/>
          <w:b w:val="0"/>
          <w:bCs w:val="0"/>
          <w:lang w:val="fr-FR"/>
        </w:rPr>
        <w:t>Il en est de même avec l’autorégulation de notre profession.</w:t>
      </w:r>
    </w:p>
    <w:p w14:paraId="0BEA9EC6" w14:textId="77777777" w:rsidR="00DD2FF4" w:rsidRPr="002C2471" w:rsidRDefault="00DD2FF4" w:rsidP="00DD2FF4">
      <w:pPr>
        <w:spacing w:after="120" w:line="240" w:lineRule="auto"/>
        <w:rPr>
          <w:rFonts w:eastAsia="Times New Roman" w:cs="Times New Roman"/>
          <w:sz w:val="24"/>
          <w:szCs w:val="24"/>
          <w:lang w:val="fr-FR"/>
        </w:rPr>
      </w:pPr>
    </w:p>
    <w:p w14:paraId="58987782" w14:textId="77777777" w:rsidR="003005BB" w:rsidRPr="003005BB" w:rsidRDefault="00DD2FF4" w:rsidP="00DD2FF4">
      <w:pPr>
        <w:spacing w:after="120" w:line="240" w:lineRule="auto"/>
        <w:rPr>
          <w:rFonts w:eastAsia="Times New Roman" w:cs="Times New Roman"/>
          <w:lang w:val="fr-FR"/>
        </w:rPr>
      </w:pPr>
      <w:r w:rsidRPr="003005BB">
        <w:rPr>
          <w:rFonts w:eastAsia="Times New Roman" w:cs="Times New Roman"/>
          <w:lang w:val="fr-FR"/>
        </w:rPr>
        <w:t xml:space="preserve">Guido Imfeld, </w:t>
      </w:r>
      <w:bookmarkStart w:id="2" w:name="_Hlk21440622"/>
    </w:p>
    <w:p w14:paraId="5EF5715F" w14:textId="30E0B631" w:rsidR="00DD2FF4" w:rsidRPr="00DD2FF4" w:rsidRDefault="003005BB" w:rsidP="00DD2FF4">
      <w:pPr>
        <w:spacing w:after="120" w:line="240" w:lineRule="auto"/>
        <w:rPr>
          <w:rFonts w:eastAsia="Times New Roman" w:cs="Times New Roman"/>
          <w:sz w:val="24"/>
          <w:szCs w:val="24"/>
          <w:lang w:val="fr-FR"/>
        </w:rPr>
      </w:pPr>
      <w:r w:rsidRPr="003005BB">
        <w:rPr>
          <w:rFonts w:eastAsia="Times New Roman" w:cs="Times New Roman"/>
          <w:lang w:val="fr-FR"/>
        </w:rPr>
        <w:t>V</w:t>
      </w:r>
      <w:r w:rsidR="00DD2FF4" w:rsidRPr="003005BB">
        <w:rPr>
          <w:rFonts w:eastAsia="Times New Roman" w:cs="Times New Roman"/>
          <w:lang w:val="fr-FR"/>
        </w:rPr>
        <w:t xml:space="preserve">ice-bâtonnier </w:t>
      </w:r>
      <w:r w:rsidR="001A3FF4">
        <w:rPr>
          <w:rFonts w:eastAsia="Times New Roman" w:cs="Times New Roman"/>
          <w:lang w:val="fr-FR"/>
        </w:rPr>
        <w:t xml:space="preserve">du barreau de </w:t>
      </w:r>
      <w:r w:rsidR="00DD2FF4" w:rsidRPr="003005BB">
        <w:rPr>
          <w:rFonts w:eastAsia="Times New Roman" w:cs="Times New Roman"/>
          <w:lang w:val="fr-FR"/>
        </w:rPr>
        <w:t>Cologne</w:t>
      </w:r>
      <w:bookmarkEnd w:id="2"/>
      <w:r w:rsidR="00DD2FF4" w:rsidRPr="003005BB">
        <w:rPr>
          <w:rFonts w:eastAsia="Times New Roman" w:cs="Times New Roman"/>
          <w:lang w:val="fr-FR"/>
        </w:rPr>
        <w:t xml:space="preserve">, avocat associé chez Daniel Hagelskamp &amp; </w:t>
      </w:r>
      <w:proofErr w:type="spellStart"/>
      <w:r w:rsidR="00DD2FF4" w:rsidRPr="003005BB">
        <w:rPr>
          <w:rFonts w:eastAsia="Times New Roman" w:cs="Times New Roman"/>
          <w:lang w:val="fr-FR"/>
        </w:rPr>
        <w:t>Kollegen</w:t>
      </w:r>
      <w:proofErr w:type="spellEnd"/>
      <w:r w:rsidR="003337BD">
        <w:rPr>
          <w:rFonts w:eastAsia="Times New Roman" w:cs="Times New Roman"/>
          <w:lang w:val="fr-FR"/>
        </w:rPr>
        <w:t xml:space="preserve"> (Aix-la-Chapelle/Liège)</w:t>
      </w:r>
    </w:p>
    <w:p w14:paraId="09280286" w14:textId="77777777" w:rsidR="00DD2FF4" w:rsidRDefault="00DD2FF4" w:rsidP="00002556">
      <w:pPr>
        <w:rPr>
          <w:lang w:val="fr-FR"/>
        </w:rPr>
      </w:pPr>
    </w:p>
    <w:sectPr w:rsidR="00DD2F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B6FC8" w14:textId="77777777" w:rsidR="00870651" w:rsidRDefault="00870651" w:rsidP="00002556">
      <w:pPr>
        <w:spacing w:after="0" w:line="240" w:lineRule="auto"/>
      </w:pPr>
      <w:r>
        <w:separator/>
      </w:r>
    </w:p>
  </w:endnote>
  <w:endnote w:type="continuationSeparator" w:id="0">
    <w:p w14:paraId="6799CD95" w14:textId="77777777" w:rsidR="00870651" w:rsidRDefault="00870651" w:rsidP="0000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409F" w14:textId="77777777" w:rsidR="00870651" w:rsidRDefault="00870651" w:rsidP="00002556">
      <w:pPr>
        <w:spacing w:after="0" w:line="240" w:lineRule="auto"/>
      </w:pPr>
      <w:r>
        <w:separator/>
      </w:r>
    </w:p>
  </w:footnote>
  <w:footnote w:type="continuationSeparator" w:id="0">
    <w:p w14:paraId="17C9B32B" w14:textId="77777777" w:rsidR="00870651" w:rsidRDefault="00870651" w:rsidP="00002556">
      <w:pPr>
        <w:spacing w:after="0" w:line="240" w:lineRule="auto"/>
      </w:pPr>
      <w:r>
        <w:continuationSeparator/>
      </w:r>
    </w:p>
  </w:footnote>
  <w:footnote w:id="1">
    <w:p w14:paraId="6BCB60D9" w14:textId="51692CF5" w:rsidR="00243F43" w:rsidRPr="00243F43" w:rsidRDefault="00243F43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243F43">
        <w:rPr>
          <w:lang w:val="fr-FR"/>
        </w:rPr>
        <w:t xml:space="preserve"> </w:t>
      </w:r>
      <w:r>
        <w:rPr>
          <w:lang w:val="fr-FR"/>
        </w:rPr>
        <w:t>Encore, f</w:t>
      </w:r>
      <w:r w:rsidRPr="00243F43">
        <w:rPr>
          <w:lang w:val="fr-FR"/>
        </w:rPr>
        <w:t>aut-il dire « mais » ?</w:t>
      </w:r>
    </w:p>
  </w:footnote>
  <w:footnote w:id="2">
    <w:p w14:paraId="25E0406F" w14:textId="40F04FC1" w:rsidR="00354257" w:rsidRPr="00354257" w:rsidRDefault="00354257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354257">
        <w:rPr>
          <w:lang w:val="fr-FR"/>
        </w:rPr>
        <w:t xml:space="preserve"> </w:t>
      </w:r>
      <w:r w:rsidR="000C68C3">
        <w:rPr>
          <w:lang w:val="fr-FR"/>
        </w:rPr>
        <w:t>« </w:t>
      </w:r>
      <w:proofErr w:type="spellStart"/>
      <w:r w:rsidRPr="00354257">
        <w:rPr>
          <w:lang w:val="fr-FR"/>
        </w:rPr>
        <w:t>Organ</w:t>
      </w:r>
      <w:proofErr w:type="spellEnd"/>
      <w:r w:rsidRPr="00354257">
        <w:rPr>
          <w:lang w:val="fr-FR"/>
        </w:rPr>
        <w:t xml:space="preserve"> der </w:t>
      </w:r>
      <w:proofErr w:type="spellStart"/>
      <w:r w:rsidRPr="00354257">
        <w:rPr>
          <w:lang w:val="fr-FR"/>
        </w:rPr>
        <w:t>Rechtspflege</w:t>
      </w:r>
      <w:proofErr w:type="spellEnd"/>
      <w:r w:rsidR="000C68C3">
        <w:rPr>
          <w:lang w:val="fr-FR"/>
        </w:rPr>
        <w:t> »</w:t>
      </w:r>
      <w:r w:rsidRPr="00354257">
        <w:rPr>
          <w:lang w:val="fr-FR"/>
        </w:rPr>
        <w:t xml:space="preserve"> en allemand, je préfère le terme „</w:t>
      </w:r>
      <w:r>
        <w:rPr>
          <w:lang w:val="fr-FR"/>
        </w:rPr>
        <w:t>agent » à celui d’auxiliaire (</w:t>
      </w:r>
      <w:proofErr w:type="spellStart"/>
      <w:r>
        <w:rPr>
          <w:lang w:val="fr-FR"/>
        </w:rPr>
        <w:t>c.f</w:t>
      </w:r>
      <w:proofErr w:type="spellEnd"/>
      <w:r>
        <w:rPr>
          <w:lang w:val="fr-FR"/>
        </w:rPr>
        <w:t>. infra).</w:t>
      </w:r>
    </w:p>
  </w:footnote>
  <w:footnote w:id="3">
    <w:p w14:paraId="120B5AF6" w14:textId="2AEB5FAE" w:rsidR="00002556" w:rsidRDefault="00002556" w:rsidP="0000255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F0FED">
        <w:t xml:space="preserve">En </w:t>
      </w:r>
      <w:proofErr w:type="spellStart"/>
      <w:r w:rsidR="00CF0FED">
        <w:t>allemand</w:t>
      </w:r>
      <w:proofErr w:type="spellEnd"/>
      <w:r w:rsidR="00CF0FED">
        <w:t xml:space="preserve">: </w:t>
      </w:r>
      <w:r>
        <w:t>„</w:t>
      </w:r>
      <w:r w:rsidRPr="00614BE3">
        <w:rPr>
          <w:i/>
          <w:iCs/>
        </w:rPr>
        <w:t>Er füllt die Organstellung durch seine Dienstleistung aus</w:t>
      </w:r>
      <w:r>
        <w:t>.“ (Hans-Jürgen Hellwig, Berufsrecht und Berufsethik der Anwaltschaft in Europa, Tübingen, 2015, p. 148)</w:t>
      </w:r>
      <w:r w:rsidR="00CF0FED">
        <w:t>.</w:t>
      </w:r>
    </w:p>
  </w:footnote>
  <w:footnote w:id="4">
    <w:p w14:paraId="232D0BC2" w14:textId="66B44FE4" w:rsidR="00F119B0" w:rsidRPr="001776EE" w:rsidRDefault="00F119B0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F119B0">
        <w:t xml:space="preserve"> Unabhängigkeit, Verschwiegenheit, Loyalität, Verpflichtung a</w:t>
      </w:r>
      <w:r>
        <w:t>uf das Gemeinwohl (</w:t>
      </w:r>
      <w:proofErr w:type="spellStart"/>
      <w:r>
        <w:t>i</w:t>
      </w:r>
      <w:r w:rsidRPr="00F119B0">
        <w:t>ndépendance</w:t>
      </w:r>
      <w:proofErr w:type="spellEnd"/>
      <w:r w:rsidRPr="00F119B0">
        <w:t xml:space="preserve">, discrétion, </w:t>
      </w:r>
      <w:proofErr w:type="spellStart"/>
      <w:r w:rsidRPr="00F119B0">
        <w:t>loyauté</w:t>
      </w:r>
      <w:proofErr w:type="spellEnd"/>
      <w:r w:rsidRPr="00F119B0">
        <w:t xml:space="preserve">, </w:t>
      </w:r>
      <w:proofErr w:type="spellStart"/>
      <w:r w:rsidRPr="00F119B0">
        <w:t>engagement</w:t>
      </w:r>
      <w:proofErr w:type="spellEnd"/>
      <w:r w:rsidRPr="00F119B0">
        <w:t xml:space="preserve"> </w:t>
      </w:r>
      <w:proofErr w:type="spellStart"/>
      <w:r w:rsidRPr="00F119B0">
        <w:t>pour</w:t>
      </w:r>
      <w:proofErr w:type="spellEnd"/>
      <w:r w:rsidRPr="00F119B0">
        <w:t xml:space="preserve"> le </w:t>
      </w:r>
      <w:proofErr w:type="spellStart"/>
      <w:r w:rsidRPr="00F119B0">
        <w:t>bien</w:t>
      </w:r>
      <w:proofErr w:type="spellEnd"/>
      <w:r w:rsidRPr="00F119B0">
        <w:t xml:space="preserve"> commun</w:t>
      </w:r>
      <w:r>
        <w:t xml:space="preserve">); cf. </w:t>
      </w:r>
      <w:r w:rsidRPr="001776EE">
        <w:rPr>
          <w:lang w:val="fr-FR"/>
        </w:rPr>
        <w:t xml:space="preserve">§ 1 </w:t>
      </w:r>
      <w:proofErr w:type="spellStart"/>
      <w:r w:rsidRPr="001776EE">
        <w:rPr>
          <w:lang w:val="fr-FR"/>
        </w:rPr>
        <w:t>BRAO</w:t>
      </w:r>
      <w:proofErr w:type="spellEnd"/>
      <w:r w:rsidRPr="001776EE">
        <w:rPr>
          <w:lang w:val="fr-FR"/>
        </w:rPr>
        <w:t xml:space="preserve">, § 1 </w:t>
      </w:r>
      <w:proofErr w:type="spellStart"/>
      <w:r w:rsidRPr="001776EE">
        <w:rPr>
          <w:lang w:val="fr-FR"/>
        </w:rPr>
        <w:t>PartGG</w:t>
      </w:r>
      <w:proofErr w:type="spellEnd"/>
    </w:p>
  </w:footnote>
  <w:footnote w:id="5">
    <w:p w14:paraId="2D0E285F" w14:textId="7B0A4496" w:rsidR="00243F43" w:rsidRPr="00243F43" w:rsidRDefault="00243F43" w:rsidP="00243F43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243F43">
        <w:rPr>
          <w:lang w:val="fr-FR"/>
        </w:rPr>
        <w:t xml:space="preserve"> </w:t>
      </w:r>
      <w:r>
        <w:rPr>
          <w:lang w:val="fr-FR"/>
        </w:rPr>
        <w:t>« </w:t>
      </w:r>
      <w:proofErr w:type="spellStart"/>
      <w:r>
        <w:rPr>
          <w:lang w:val="fr-FR"/>
        </w:rPr>
        <w:t>Advokatur</w:t>
      </w:r>
      <w:proofErr w:type="spellEnd"/>
      <w:r>
        <w:rPr>
          <w:lang w:val="fr-FR"/>
        </w:rPr>
        <w:t> » en allemand ; le mot fran</w:t>
      </w:r>
      <w:r w:rsidR="00695C26" w:rsidRPr="00C32E4D">
        <w:rPr>
          <w:rStyle w:val="Hervorhebung"/>
          <w:i w:val="0"/>
          <w:iCs w:val="0"/>
          <w:lang w:val="fr-FR"/>
        </w:rPr>
        <w:t>ç</w:t>
      </w:r>
      <w:r>
        <w:rPr>
          <w:lang w:val="fr-FR"/>
        </w:rPr>
        <w:t>ais est réclamé par Maître Daniel Soulez-</w:t>
      </w:r>
      <w:proofErr w:type="spellStart"/>
      <w:r>
        <w:rPr>
          <w:lang w:val="fr-FR"/>
        </w:rPr>
        <w:t>Larivière</w:t>
      </w:r>
      <w:proofErr w:type="spellEnd"/>
      <w:r>
        <w:rPr>
          <w:lang w:val="fr-FR"/>
        </w:rPr>
        <w:t xml:space="preserve"> qui dit </w:t>
      </w:r>
      <w:r w:rsidRPr="00002556">
        <w:rPr>
          <w:lang w:val="fr-FR"/>
        </w:rPr>
        <w:t>avoir</w:t>
      </w:r>
      <w:proofErr w:type="gramStart"/>
      <w:r w:rsidRPr="00002556">
        <w:rPr>
          <w:rStyle w:val="Hervorhebung"/>
          <w:lang w:val="fr-FR"/>
        </w:rPr>
        <w:t> «inventé</w:t>
      </w:r>
      <w:proofErr w:type="gramEnd"/>
      <w:r w:rsidRPr="00002556">
        <w:rPr>
          <w:rStyle w:val="Hervorhebung"/>
          <w:lang w:val="fr-FR"/>
        </w:rPr>
        <w:t>»</w:t>
      </w:r>
      <w:r w:rsidRPr="00002556">
        <w:rPr>
          <w:lang w:val="fr-FR"/>
        </w:rPr>
        <w:t xml:space="preserve"> le terme «avocature» dans le titre d'un livre publié en 1982.</w:t>
      </w:r>
    </w:p>
    <w:p w14:paraId="05F22054" w14:textId="0212FA04" w:rsidR="00243F43" w:rsidRPr="00243F43" w:rsidRDefault="00243F43">
      <w:pPr>
        <w:pStyle w:val="Funotentext"/>
        <w:rPr>
          <w:lang w:val="fr-FR"/>
        </w:rPr>
      </w:pPr>
    </w:p>
  </w:footnote>
  <w:footnote w:id="6">
    <w:p w14:paraId="73049B7F" w14:textId="5D0EF1F1" w:rsidR="00F71344" w:rsidRDefault="00F7134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fr-FR"/>
        </w:rPr>
        <w:t>Frédéric Guillaume I</w:t>
      </w:r>
      <w:r w:rsidRPr="008075A0">
        <w:rPr>
          <w:vertAlign w:val="superscript"/>
          <w:lang w:val="fr-FR"/>
        </w:rPr>
        <w:t>er</w:t>
      </w:r>
      <w:r>
        <w:rPr>
          <w:vertAlign w:val="superscript"/>
          <w:lang w:val="fr-FR"/>
        </w:rPr>
        <w:t xml:space="preserve"> - </w:t>
      </w:r>
      <w:hyperlink r:id="rId1" w:tooltip="Details zum Autor Friedrich Wilhelm I. anzeigen" w:history="1">
        <w:r w:rsidRPr="003337BD">
          <w:rPr>
            <w:rStyle w:val="Hyperlink"/>
            <w:color w:val="auto"/>
            <w:u w:val="none"/>
          </w:rPr>
          <w:t>Friedrich Wilhelm I.</w:t>
        </w:r>
      </w:hyperlink>
      <w:r>
        <w:t xml:space="preserve"> (</w:t>
      </w:r>
      <w:r w:rsidRPr="0039500A">
        <w:t xml:space="preserve">1688 </w:t>
      </w:r>
      <w:r>
        <w:t>–</w:t>
      </w:r>
      <w:r w:rsidRPr="0039500A">
        <w:t xml:space="preserve"> 1740</w:t>
      </w:r>
      <w:r>
        <w:t>)</w:t>
      </w:r>
    </w:p>
  </w:footnote>
  <w:footnote w:id="7">
    <w:p w14:paraId="073634B4" w14:textId="4CF99367" w:rsidR="00002556" w:rsidRPr="00F71344" w:rsidRDefault="00002556" w:rsidP="00002556">
      <w:pPr>
        <w:pStyle w:val="berschrift1"/>
        <w:rPr>
          <w:sz w:val="18"/>
          <w:szCs w:val="18"/>
        </w:rPr>
      </w:pPr>
      <w:r w:rsidRPr="0039500A">
        <w:rPr>
          <w:rStyle w:val="Funotenzeichen"/>
          <w:b w:val="0"/>
          <w:bCs w:val="0"/>
          <w:sz w:val="20"/>
          <w:szCs w:val="20"/>
        </w:rPr>
        <w:footnoteRef/>
      </w:r>
      <w:r>
        <w:t xml:space="preserve"> </w:t>
      </w:r>
      <w:r w:rsidRPr="00EC0EA8">
        <w:rPr>
          <w:b w:val="0"/>
          <w:bCs w:val="0"/>
          <w:i/>
          <w:iCs/>
          <w:sz w:val="20"/>
          <w:szCs w:val="20"/>
        </w:rPr>
        <w:t xml:space="preserve">Wir ordnen und befehlen hiermit allen Ernstes, </w:t>
      </w:r>
      <w:proofErr w:type="spellStart"/>
      <w:r w:rsidRPr="00EC0EA8">
        <w:rPr>
          <w:b w:val="0"/>
          <w:bCs w:val="0"/>
          <w:i/>
          <w:iCs/>
          <w:sz w:val="20"/>
          <w:szCs w:val="20"/>
        </w:rPr>
        <w:t>daß</w:t>
      </w:r>
      <w:proofErr w:type="spellEnd"/>
      <w:r w:rsidRPr="00EC0EA8">
        <w:rPr>
          <w:b w:val="0"/>
          <w:bCs w:val="0"/>
          <w:i/>
          <w:iCs/>
          <w:sz w:val="20"/>
          <w:szCs w:val="20"/>
        </w:rPr>
        <w:t xml:space="preserve"> die </w:t>
      </w:r>
      <w:proofErr w:type="spellStart"/>
      <w:r w:rsidRPr="00EC0EA8">
        <w:rPr>
          <w:b w:val="0"/>
          <w:bCs w:val="0"/>
          <w:i/>
          <w:iCs/>
          <w:sz w:val="20"/>
          <w:szCs w:val="20"/>
        </w:rPr>
        <w:t>Advocati</w:t>
      </w:r>
      <w:proofErr w:type="spellEnd"/>
      <w:r w:rsidRPr="00EC0EA8">
        <w:rPr>
          <w:b w:val="0"/>
          <w:bCs w:val="0"/>
          <w:i/>
          <w:iCs/>
          <w:sz w:val="20"/>
          <w:szCs w:val="20"/>
        </w:rPr>
        <w:t xml:space="preserve"> wollene schwarze Mäntel, welche bis unter das Knie gehen, unserer Verordnung gemäß zu tragen haben, damit man die Spitzbuben schon von weitem erkennt.</w:t>
      </w:r>
    </w:p>
  </w:footnote>
  <w:footnote w:id="8">
    <w:p w14:paraId="567FA168" w14:textId="11913543" w:rsidR="00002556" w:rsidRDefault="00002556" w:rsidP="00896DBA">
      <w:pPr>
        <w:spacing w:line="240" w:lineRule="auto"/>
      </w:pPr>
      <w:r w:rsidRPr="00EC0EA8">
        <w:rPr>
          <w:rStyle w:val="Funotenzeichen"/>
          <w:sz w:val="20"/>
          <w:szCs w:val="20"/>
        </w:rPr>
        <w:footnoteRef/>
      </w:r>
      <w:r w:rsidRPr="00EC0EA8">
        <w:rPr>
          <w:sz w:val="20"/>
          <w:szCs w:val="20"/>
        </w:rPr>
        <w:t xml:space="preserve"> „</w:t>
      </w:r>
      <w:r w:rsidRPr="00EC0EA8">
        <w:rPr>
          <w:i/>
          <w:iCs/>
          <w:sz w:val="20"/>
          <w:szCs w:val="20"/>
        </w:rPr>
        <w:t>Rechtsverdreher und Gebührenschinder ohne Sinn für Vernunft und Wirklichkeit</w:t>
      </w:r>
      <w:r w:rsidR="00EC0EA8">
        <w:rPr>
          <w:i/>
          <w:iCs/>
          <w:sz w:val="20"/>
          <w:szCs w:val="20"/>
        </w:rPr>
        <w:t>.</w:t>
      </w:r>
      <w:r>
        <w:t>“</w:t>
      </w:r>
      <w:r w:rsidRPr="00353A88">
        <w:t xml:space="preserve"> </w:t>
      </w:r>
    </w:p>
  </w:footnote>
  <w:footnote w:id="9">
    <w:p w14:paraId="7F6279C1" w14:textId="540FA1A7" w:rsidR="00F71344" w:rsidRDefault="00F7134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416E3">
        <w:t>« </w:t>
      </w:r>
      <w:r w:rsidRPr="00C416E3">
        <w:rPr>
          <w:i/>
          <w:iCs/>
        </w:rPr>
        <w:t>Assistenzrat</w:t>
      </w:r>
      <w:r w:rsidRPr="00C416E3">
        <w:t> »,</w:t>
      </w:r>
    </w:p>
  </w:footnote>
  <w:footnote w:id="10">
    <w:p w14:paraId="13E1AED7" w14:textId="4A3AB93D" w:rsidR="00C32E4D" w:rsidRPr="00C32E4D" w:rsidRDefault="00C32E4D" w:rsidP="00896DB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32E4D">
        <w:t>Allgemeine Gerichtsordnung</w:t>
      </w:r>
      <w:r>
        <w:t xml:space="preserve"> (AGO)</w:t>
      </w:r>
    </w:p>
  </w:footnote>
  <w:footnote w:id="11">
    <w:p w14:paraId="6F46E974" w14:textId="686C06B8" w:rsidR="00C416E3" w:rsidRDefault="00C416E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B4A4C">
        <w:rPr>
          <w:lang w:val="fr-FR"/>
        </w:rPr>
        <w:t>Frédéric Guillaume IV</w:t>
      </w:r>
    </w:p>
  </w:footnote>
  <w:footnote w:id="12">
    <w:p w14:paraId="1288C08F" w14:textId="706927A7" w:rsidR="00226DF6" w:rsidRPr="00F119B0" w:rsidRDefault="00226DF6">
      <w:pPr>
        <w:pStyle w:val="Funotentext"/>
      </w:pPr>
      <w:r>
        <w:rPr>
          <w:rStyle w:val="Funotenzeichen"/>
        </w:rPr>
        <w:footnoteRef/>
      </w:r>
      <w:r w:rsidRPr="00F119B0">
        <w:t xml:space="preserve"> § 78 ZPO (Zivilprozessordnung - Code </w:t>
      </w:r>
      <w:proofErr w:type="spellStart"/>
      <w:r w:rsidR="00D454B1">
        <w:t>j</w:t>
      </w:r>
      <w:r w:rsidR="004C18EA" w:rsidRPr="00F119B0">
        <w:t>udiciaire</w:t>
      </w:r>
      <w:proofErr w:type="spellEnd"/>
      <w:r w:rsidRPr="00F119B0">
        <w:t>)</w:t>
      </w:r>
    </w:p>
  </w:footnote>
  <w:footnote w:id="13">
    <w:p w14:paraId="0D47654A" w14:textId="1C2F1402" w:rsidR="008457C8" w:rsidRPr="00F119B0" w:rsidRDefault="008457C8">
      <w:pPr>
        <w:pStyle w:val="Funotentext"/>
      </w:pPr>
      <w:r>
        <w:rPr>
          <w:rStyle w:val="Funotenzeichen"/>
        </w:rPr>
        <w:footnoteRef/>
      </w:r>
      <w:r w:rsidRPr="00F119B0">
        <w:t xml:space="preserve"> </w:t>
      </w:r>
      <w:proofErr w:type="spellStart"/>
      <w:r w:rsidRPr="00F119B0">
        <w:t>L‘examen</w:t>
      </w:r>
      <w:proofErr w:type="spellEnd"/>
      <w:r w:rsidRPr="00F119B0">
        <w:t xml:space="preserve"> </w:t>
      </w:r>
      <w:proofErr w:type="spellStart"/>
      <w:r w:rsidRPr="00F119B0">
        <w:t>donnant</w:t>
      </w:r>
      <w:proofErr w:type="spellEnd"/>
      <w:r w:rsidRPr="00F119B0">
        <w:t xml:space="preserve"> </w:t>
      </w:r>
      <w:proofErr w:type="spellStart"/>
      <w:r w:rsidRPr="00F119B0">
        <w:t>accès</w:t>
      </w:r>
      <w:proofErr w:type="spellEnd"/>
      <w:r w:rsidRPr="00F119B0">
        <w:t xml:space="preserve"> à la </w:t>
      </w:r>
      <w:proofErr w:type="spellStart"/>
      <w:r w:rsidRPr="00F119B0">
        <w:t>capacité</w:t>
      </w:r>
      <w:proofErr w:type="spellEnd"/>
      <w:r w:rsidRPr="00F119B0">
        <w:t xml:space="preserve"> de </w:t>
      </w:r>
      <w:proofErr w:type="spellStart"/>
      <w:proofErr w:type="gramStart"/>
      <w:r w:rsidRPr="00F119B0">
        <w:t>juge</w:t>
      </w:r>
      <w:proofErr w:type="spellEnd"/>
      <w:r w:rsidRPr="00F119B0">
        <w:t> :</w:t>
      </w:r>
      <w:proofErr w:type="gramEnd"/>
      <w:r w:rsidRPr="00F119B0">
        <w:t xml:space="preserve"> Befähigung zum Richteramt </w:t>
      </w:r>
      <w:proofErr w:type="spellStart"/>
      <w:r w:rsidRPr="00F119B0">
        <w:t>selon</w:t>
      </w:r>
      <w:proofErr w:type="spellEnd"/>
      <w:r w:rsidRPr="00F119B0">
        <w:t xml:space="preserve"> le § 4 Rechtsanwaltsordnung</w:t>
      </w:r>
      <w:r w:rsidR="00C9526B" w:rsidRPr="00F119B0">
        <w:t>.</w:t>
      </w:r>
    </w:p>
  </w:footnote>
  <w:footnote w:id="14">
    <w:p w14:paraId="0AE85C0B" w14:textId="6B552E0D" w:rsidR="00CE6041" w:rsidRPr="00CE6041" w:rsidRDefault="00CE604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E6041">
        <w:t>Gewerbeordnung d</w:t>
      </w:r>
      <w:r>
        <w:t>es Norddeutschen Bundes de 1869</w:t>
      </w:r>
    </w:p>
  </w:footnote>
  <w:footnote w:id="15">
    <w:p w14:paraId="2FF35395" w14:textId="5D122555" w:rsidR="00C9526B" w:rsidRPr="00F119B0" w:rsidRDefault="00C9526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F119B0">
        <w:rPr>
          <w:lang w:val="fr-FR"/>
        </w:rPr>
        <w:t xml:space="preserve"> Datant de 1962, 1973, 2001, 2003 et 2004.</w:t>
      </w:r>
    </w:p>
  </w:footnote>
  <w:footnote w:id="16">
    <w:p w14:paraId="44FA2F61" w14:textId="0D59A021" w:rsidR="003005BB" w:rsidRPr="003005BB" w:rsidRDefault="003005B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3005BB">
        <w:rPr>
          <w:lang w:val="fr-FR"/>
        </w:rPr>
        <w:t xml:space="preserve"> </w:t>
      </w:r>
      <w:proofErr w:type="spellStart"/>
      <w:r w:rsidRPr="003005BB">
        <w:rPr>
          <w:rFonts w:cs="Times New Roman"/>
          <w:lang w:val="fr-FR"/>
        </w:rPr>
        <w:t>C.J.U.E</w:t>
      </w:r>
      <w:proofErr w:type="spellEnd"/>
      <w:r w:rsidRPr="003005BB">
        <w:rPr>
          <w:rFonts w:cs="Times New Roman"/>
          <w:lang w:val="fr-FR"/>
        </w:rPr>
        <w:t>., 19 février 2002, Wouters, C- 309/99</w:t>
      </w:r>
    </w:p>
  </w:footnote>
  <w:footnote w:id="17">
    <w:p w14:paraId="6A97E13C" w14:textId="73BA2BD4" w:rsidR="009963B4" w:rsidRPr="00F119B0" w:rsidRDefault="009963B4">
      <w:pPr>
        <w:pStyle w:val="Funotentext"/>
      </w:pPr>
      <w:r>
        <w:rPr>
          <w:rStyle w:val="Funotenzeichen"/>
        </w:rPr>
        <w:footnoteRef/>
      </w:r>
      <w:r w:rsidRPr="00F119B0">
        <w:t xml:space="preserve"> § 12 a Bundesrechtsanwaltsordnung</w:t>
      </w:r>
    </w:p>
  </w:footnote>
  <w:footnote w:id="18">
    <w:p w14:paraId="1B9E2CB6" w14:textId="38F21AFC" w:rsidR="004C18EA" w:rsidRPr="00F119B0" w:rsidRDefault="004C18EA">
      <w:pPr>
        <w:pStyle w:val="Funotentext"/>
      </w:pPr>
      <w:r>
        <w:rPr>
          <w:rStyle w:val="Funotenzeichen"/>
        </w:rPr>
        <w:footnoteRef/>
      </w:r>
      <w:r w:rsidRPr="00F119B0">
        <w:t xml:space="preserve"> </w:t>
      </w:r>
      <w:proofErr w:type="spellStart"/>
      <w:r w:rsidRPr="00F119B0">
        <w:t>D’abord</w:t>
      </w:r>
      <w:proofErr w:type="spellEnd"/>
      <w:r w:rsidRPr="00F119B0">
        <w:t xml:space="preserve"> </w:t>
      </w:r>
      <w:proofErr w:type="spellStart"/>
      <w:r w:rsidRPr="00F119B0">
        <w:t>consacré</w:t>
      </w:r>
      <w:proofErr w:type="spellEnd"/>
      <w:r w:rsidRPr="00F119B0">
        <w:t xml:space="preserve"> par la </w:t>
      </w:r>
      <w:proofErr w:type="spellStart"/>
      <w:r w:rsidRPr="00F119B0">
        <w:t>jurisprudence</w:t>
      </w:r>
      <w:proofErr w:type="spellEnd"/>
      <w:r w:rsidRPr="00F119B0">
        <w:t xml:space="preserve"> (BVerwGE 19, 339), </w:t>
      </w:r>
      <w:proofErr w:type="spellStart"/>
      <w:r w:rsidRPr="00F119B0">
        <w:t>ensuite</w:t>
      </w:r>
      <w:proofErr w:type="spellEnd"/>
      <w:r w:rsidRPr="00F119B0">
        <w:t xml:space="preserve"> par le Rechtsberatungsgesetz de 1958 et le Rechtsdienstleistungsgesetz de 2008</w:t>
      </w:r>
    </w:p>
  </w:footnote>
  <w:footnote w:id="19">
    <w:p w14:paraId="24A51737" w14:textId="4E964E03" w:rsidR="004E5B41" w:rsidRPr="002C2471" w:rsidRDefault="004E5B4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2C2471">
        <w:rPr>
          <w:lang w:val="fr-FR"/>
        </w:rPr>
        <w:t xml:space="preserve"> </w:t>
      </w:r>
      <w:r w:rsidR="002C2471" w:rsidRPr="002C2471">
        <w:rPr>
          <w:rStyle w:val="Hervorhebung"/>
          <w:i w:val="0"/>
          <w:iCs w:val="0"/>
          <w:lang w:val="fr-FR"/>
        </w:rPr>
        <w:t xml:space="preserve">« </w:t>
      </w:r>
      <w:r w:rsidR="002C2471" w:rsidRPr="002C2471">
        <w:rPr>
          <w:rStyle w:val="Hervorhebung"/>
          <w:lang w:val="fr-FR"/>
        </w:rPr>
        <w:t xml:space="preserve">Beaucoup de formes de gouvernement furent essayées, et le seront, dans ce monde de péché et de malheur. </w:t>
      </w:r>
      <w:r w:rsidR="002C2471" w:rsidRPr="003337BD">
        <w:rPr>
          <w:rStyle w:val="Hervorhebung"/>
          <w:lang w:val="fr-FR"/>
        </w:rPr>
        <w:t xml:space="preserve">Personne ne prétend que la démocratie est parfaite ou omnisciente. En effet, </w:t>
      </w:r>
      <w:r w:rsidR="002C2471" w:rsidRPr="008075A0">
        <w:rPr>
          <w:rStyle w:val="Fett"/>
          <w:b w:val="0"/>
          <w:bCs w:val="0"/>
          <w:i/>
          <w:iCs/>
          <w:lang w:val="fr-FR"/>
        </w:rPr>
        <w:t>on put dire qu'elle était la pire forme de gouvernement à l'exception de toutes celles qui furent essayées au fil du temps.</w:t>
      </w:r>
      <w:r w:rsidR="002C2471">
        <w:rPr>
          <w:rStyle w:val="Fett"/>
          <w:b w:val="0"/>
          <w:bCs w:val="0"/>
          <w:lang w:val="fr-FR"/>
        </w:rPr>
        <w:t>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40D"/>
    <w:multiLevelType w:val="hybridMultilevel"/>
    <w:tmpl w:val="764A6228"/>
    <w:lvl w:ilvl="0" w:tplc="02502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1C91"/>
    <w:multiLevelType w:val="hybridMultilevel"/>
    <w:tmpl w:val="5AD05FEC"/>
    <w:lvl w:ilvl="0" w:tplc="C6F2B9EE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569C1"/>
    <w:multiLevelType w:val="hybridMultilevel"/>
    <w:tmpl w:val="FA423AF8"/>
    <w:lvl w:ilvl="0" w:tplc="B6544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09337B7-6AD6-4F07-88A9-36A24C0C9186}"/>
    <w:docVar w:name="dgnword-eventsink" w:val="276126456"/>
  </w:docVars>
  <w:rsids>
    <w:rsidRoot w:val="00002556"/>
    <w:rsid w:val="00002556"/>
    <w:rsid w:val="00007B91"/>
    <w:rsid w:val="00012379"/>
    <w:rsid w:val="000326E5"/>
    <w:rsid w:val="000757DF"/>
    <w:rsid w:val="00086825"/>
    <w:rsid w:val="0009769A"/>
    <w:rsid w:val="000A1E28"/>
    <w:rsid w:val="000C68C3"/>
    <w:rsid w:val="000E5689"/>
    <w:rsid w:val="000F44D5"/>
    <w:rsid w:val="001776EE"/>
    <w:rsid w:val="00181441"/>
    <w:rsid w:val="00197102"/>
    <w:rsid w:val="001A3FF4"/>
    <w:rsid w:val="001A5413"/>
    <w:rsid w:val="001E4FC5"/>
    <w:rsid w:val="00204E5E"/>
    <w:rsid w:val="00226DF6"/>
    <w:rsid w:val="00243F43"/>
    <w:rsid w:val="0025795A"/>
    <w:rsid w:val="002B58FC"/>
    <w:rsid w:val="002C2471"/>
    <w:rsid w:val="002D538B"/>
    <w:rsid w:val="003005BB"/>
    <w:rsid w:val="003337BD"/>
    <w:rsid w:val="00343693"/>
    <w:rsid w:val="00354257"/>
    <w:rsid w:val="00370811"/>
    <w:rsid w:val="003919AF"/>
    <w:rsid w:val="00427A94"/>
    <w:rsid w:val="00432E42"/>
    <w:rsid w:val="00495B51"/>
    <w:rsid w:val="004C18EA"/>
    <w:rsid w:val="004D7394"/>
    <w:rsid w:val="004E5B41"/>
    <w:rsid w:val="00514D82"/>
    <w:rsid w:val="005203BA"/>
    <w:rsid w:val="005364E8"/>
    <w:rsid w:val="005828F8"/>
    <w:rsid w:val="005A12D5"/>
    <w:rsid w:val="005C4C12"/>
    <w:rsid w:val="005D0FC8"/>
    <w:rsid w:val="005D7397"/>
    <w:rsid w:val="00614BE3"/>
    <w:rsid w:val="00620E49"/>
    <w:rsid w:val="00623CDD"/>
    <w:rsid w:val="00695C26"/>
    <w:rsid w:val="006C1579"/>
    <w:rsid w:val="006D1E2B"/>
    <w:rsid w:val="006D2FEF"/>
    <w:rsid w:val="00712015"/>
    <w:rsid w:val="00713FA9"/>
    <w:rsid w:val="00754CF6"/>
    <w:rsid w:val="007778F5"/>
    <w:rsid w:val="00797232"/>
    <w:rsid w:val="007B3A23"/>
    <w:rsid w:val="008075A0"/>
    <w:rsid w:val="008122D5"/>
    <w:rsid w:val="00836B98"/>
    <w:rsid w:val="008457C8"/>
    <w:rsid w:val="00870651"/>
    <w:rsid w:val="00885FD9"/>
    <w:rsid w:val="00892DA8"/>
    <w:rsid w:val="00896DBA"/>
    <w:rsid w:val="008B4A4A"/>
    <w:rsid w:val="00911991"/>
    <w:rsid w:val="00962A32"/>
    <w:rsid w:val="00967BFC"/>
    <w:rsid w:val="009963B4"/>
    <w:rsid w:val="009A116E"/>
    <w:rsid w:val="00A17010"/>
    <w:rsid w:val="00A80ACA"/>
    <w:rsid w:val="00AD270D"/>
    <w:rsid w:val="00B05A18"/>
    <w:rsid w:val="00B200F6"/>
    <w:rsid w:val="00B64F4A"/>
    <w:rsid w:val="00BB5E24"/>
    <w:rsid w:val="00BC5C7D"/>
    <w:rsid w:val="00C111C8"/>
    <w:rsid w:val="00C16C24"/>
    <w:rsid w:val="00C32E4D"/>
    <w:rsid w:val="00C416E3"/>
    <w:rsid w:val="00C9526B"/>
    <w:rsid w:val="00CA22AC"/>
    <w:rsid w:val="00CB33F2"/>
    <w:rsid w:val="00CB5791"/>
    <w:rsid w:val="00CC08F5"/>
    <w:rsid w:val="00CD4CF0"/>
    <w:rsid w:val="00CE6041"/>
    <w:rsid w:val="00CF0FED"/>
    <w:rsid w:val="00CF5A51"/>
    <w:rsid w:val="00D04BB2"/>
    <w:rsid w:val="00D32672"/>
    <w:rsid w:val="00D454B1"/>
    <w:rsid w:val="00D63BE2"/>
    <w:rsid w:val="00D86898"/>
    <w:rsid w:val="00DD2FF4"/>
    <w:rsid w:val="00E04975"/>
    <w:rsid w:val="00E1250E"/>
    <w:rsid w:val="00E37CCA"/>
    <w:rsid w:val="00EC0EA8"/>
    <w:rsid w:val="00F119B0"/>
    <w:rsid w:val="00F3408D"/>
    <w:rsid w:val="00F50F62"/>
    <w:rsid w:val="00F66DD1"/>
    <w:rsid w:val="00F71344"/>
    <w:rsid w:val="00F94F98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DE1C"/>
  <w15:chartTrackingRefBased/>
  <w15:docId w15:val="{AEFB54A7-57CF-4472-AA61-11452337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02556"/>
    <w:pPr>
      <w:spacing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link w:val="berschrift1Zchn"/>
    <w:uiPriority w:val="9"/>
    <w:qFormat/>
    <w:rsid w:val="00002556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255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table" w:styleId="Tabellenraster">
    <w:name w:val="Table Grid"/>
    <w:basedOn w:val="NormaleTabelle"/>
    <w:uiPriority w:val="39"/>
    <w:rsid w:val="0000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025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2556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2556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00255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02556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002556"/>
    <w:rPr>
      <w:i/>
      <w:iCs/>
    </w:rPr>
  </w:style>
  <w:style w:type="paragraph" w:styleId="Listenabsatz">
    <w:name w:val="List Paragraph"/>
    <w:basedOn w:val="Standard"/>
    <w:uiPriority w:val="34"/>
    <w:qFormat/>
    <w:rsid w:val="00B200F6"/>
    <w:pPr>
      <w:spacing w:line="256" w:lineRule="auto"/>
      <w:ind w:left="720"/>
      <w:contextualSpacing/>
      <w:jc w:val="left"/>
    </w:pPr>
    <w:rPr>
      <w:rFonts w:asciiTheme="minorHAnsi" w:hAnsiTheme="minorHAnsi"/>
      <w:lang w:val="fr-FR"/>
    </w:rPr>
  </w:style>
  <w:style w:type="character" w:styleId="Fett">
    <w:name w:val="Strong"/>
    <w:basedOn w:val="Absatz-Standardschriftart"/>
    <w:uiPriority w:val="22"/>
    <w:qFormat/>
    <w:rsid w:val="005203B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0C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8C3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0C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8C3"/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horismen.de/autoren/person/1342/Friedrich+Wilhelm+I.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ED7E-C8AD-4AD2-AA03-3C48A273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1679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Imfeld</dc:creator>
  <cp:keywords/>
  <dc:description/>
  <cp:lastModifiedBy>Guido Imfeld</cp:lastModifiedBy>
  <cp:revision>8</cp:revision>
  <cp:lastPrinted>2019-10-21T09:49:00Z</cp:lastPrinted>
  <dcterms:created xsi:type="dcterms:W3CDTF">2019-10-21T09:19:00Z</dcterms:created>
  <dcterms:modified xsi:type="dcterms:W3CDTF">2019-10-21T11:08:00Z</dcterms:modified>
</cp:coreProperties>
</file>