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3BA" w:rsidRPr="00B200F6" w:rsidRDefault="000C03BA" w:rsidP="000C03BA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center"/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</w:pPr>
      <w:r w:rsidRPr="00B200F6"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  <w:t xml:space="preserve">Conférence conjointe </w:t>
      </w:r>
      <w:bookmarkStart w:id="0" w:name="_GoBack"/>
      <w:r w:rsidRPr="00B200F6"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  <w:t>CCBE-</w:t>
      </w:r>
      <w:proofErr w:type="spellStart"/>
      <w:r w:rsidRPr="00B200F6"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  <w:t>FBE</w:t>
      </w:r>
      <w:bookmarkEnd w:id="0"/>
      <w:proofErr w:type="spellEnd"/>
    </w:p>
    <w:p w:rsidR="000C03BA" w:rsidRPr="00B200F6" w:rsidRDefault="000C03BA" w:rsidP="000C03BA">
      <w:pPr>
        <w:pBdr>
          <w:top w:val="single" w:sz="4" w:space="1" w:color="auto"/>
          <w:bottom w:val="single" w:sz="4" w:space="1" w:color="auto"/>
        </w:pBdr>
        <w:spacing w:after="60" w:line="240" w:lineRule="auto"/>
        <w:jc w:val="center"/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</w:pPr>
      <w:bookmarkStart w:id="1" w:name="_Hlk17884659"/>
      <w:r w:rsidRPr="00B200F6">
        <w:rPr>
          <w:rFonts w:cstheme="minorHAnsi"/>
          <w:b/>
          <w:bCs/>
          <w:color w:val="2E74B5" w:themeColor="accent5" w:themeShade="BF"/>
          <w:sz w:val="28"/>
          <w:szCs w:val="28"/>
          <w:lang w:val="fr-FR"/>
        </w:rPr>
        <w:t>L’autorégulation et la qualité dans la profession d'avocat</w:t>
      </w:r>
    </w:p>
    <w:p w:rsidR="000C03BA" w:rsidRPr="00B200F6" w:rsidRDefault="000C03BA" w:rsidP="000C03B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6"/>
          <w:szCs w:val="16"/>
          <w:lang w:val="fr-FR"/>
        </w:rPr>
      </w:pPr>
    </w:p>
    <w:p w:rsidR="000C03BA" w:rsidRDefault="000C03BA" w:rsidP="000C03B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pt-PT"/>
        </w:rPr>
      </w:pPr>
      <w:r>
        <w:rPr>
          <w:rFonts w:cstheme="minorHAnsi"/>
          <w:b/>
          <w:bCs/>
          <w:sz w:val="24"/>
          <w:szCs w:val="24"/>
          <w:lang w:val="pt-PT"/>
        </w:rPr>
        <w:t>Centro Cultural de Belém, Lisbonne, le 25 octobre 2019</w:t>
      </w:r>
      <w:bookmarkEnd w:id="1"/>
    </w:p>
    <w:p w:rsidR="000C03BA" w:rsidRDefault="000C03BA" w:rsidP="000C03BA">
      <w:pPr>
        <w:rPr>
          <w:lang w:val="pt-PT"/>
        </w:rPr>
      </w:pPr>
    </w:p>
    <w:p w:rsidR="000C03BA" w:rsidRPr="00DD2FF4" w:rsidRDefault="000C03BA" w:rsidP="000C03BA">
      <w:pPr>
        <w:jc w:val="center"/>
        <w:rPr>
          <w:rFonts w:cs="Times New Roman"/>
          <w:sz w:val="24"/>
          <w:szCs w:val="24"/>
          <w:lang w:val="fr-FR"/>
        </w:rPr>
      </w:pPr>
      <w:r w:rsidRPr="00DD2FF4">
        <w:rPr>
          <w:rFonts w:cs="Times New Roman"/>
          <w:b/>
          <w:bCs/>
          <w:sz w:val="24"/>
          <w:szCs w:val="24"/>
          <w:lang w:val="fr-FR"/>
        </w:rPr>
        <w:t>II</w:t>
      </w:r>
      <w:r w:rsidRPr="00DD2FF4">
        <w:rPr>
          <w:rFonts w:cs="Times New Roman"/>
          <w:b/>
          <w:bCs/>
          <w:sz w:val="24"/>
          <w:szCs w:val="24"/>
          <w:vertAlign w:val="superscript"/>
          <w:lang w:val="fr-FR"/>
        </w:rPr>
        <w:t>e</w:t>
      </w:r>
      <w:r w:rsidRPr="00DD2FF4">
        <w:rPr>
          <w:rFonts w:cs="Times New Roman"/>
          <w:b/>
          <w:bCs/>
          <w:sz w:val="24"/>
          <w:szCs w:val="24"/>
          <w:lang w:val="fr-FR"/>
        </w:rPr>
        <w:t xml:space="preserve"> panel - Les défis de l'autorégulation : l'autorégulation est-elle la garantie d’une qualité accrue ?</w:t>
      </w:r>
    </w:p>
    <w:p w:rsidR="000C03BA" w:rsidRDefault="000C03BA" w:rsidP="000C03BA">
      <w:pPr>
        <w:spacing w:after="120" w:line="240" w:lineRule="auto"/>
        <w:rPr>
          <w:rFonts w:cs="Times New Roman"/>
          <w:b/>
          <w:bCs/>
          <w:sz w:val="24"/>
          <w:szCs w:val="24"/>
          <w:lang w:val="fr-FR"/>
        </w:rPr>
      </w:pPr>
      <w:r w:rsidRPr="00DD2FF4">
        <w:rPr>
          <w:rFonts w:eastAsia="Times New Roman" w:cs="Times New Roman"/>
          <w:b/>
          <w:bCs/>
          <w:sz w:val="24"/>
          <w:szCs w:val="24"/>
          <w:lang w:val="fr-FR"/>
        </w:rPr>
        <w:t>Comprendre le contexte des besoins juridiques : comment l'éthique soutient la qualité selon la perspective de l’avocat</w:t>
      </w:r>
      <w:r>
        <w:rPr>
          <w:rFonts w:eastAsia="Times New Roman" w:cs="Times New Roman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eastAsia="Times New Roman" w:cs="Times New Roman"/>
          <w:b/>
          <w:bCs/>
          <w:sz w:val="24"/>
          <w:szCs w:val="24"/>
          <w:lang w:val="fr-FR"/>
        </w:rPr>
        <w:t>ou</w:t>
      </w:r>
      <w:proofErr w:type="gramEnd"/>
    </w:p>
    <w:p w:rsidR="000C03BA" w:rsidRDefault="000C03BA" w:rsidP="000C03BA">
      <w:pPr>
        <w:spacing w:after="120" w:line="240" w:lineRule="auto"/>
        <w:rPr>
          <w:rFonts w:cs="Times New Roman"/>
          <w:b/>
          <w:bCs/>
          <w:sz w:val="24"/>
          <w:szCs w:val="24"/>
          <w:lang w:val="fr-FR"/>
        </w:rPr>
      </w:pPr>
    </w:p>
    <w:p w:rsidR="000C03BA" w:rsidRPr="006C1579" w:rsidRDefault="000C03BA" w:rsidP="000C03BA">
      <w:pPr>
        <w:jc w:val="center"/>
        <w:rPr>
          <w:b/>
          <w:bCs/>
          <w:sz w:val="24"/>
          <w:szCs w:val="24"/>
          <w:lang w:val="fr-FR"/>
        </w:rPr>
      </w:pPr>
      <w:r w:rsidRPr="006C1579">
        <w:rPr>
          <w:b/>
          <w:bCs/>
          <w:sz w:val="24"/>
          <w:szCs w:val="24"/>
          <w:lang w:val="fr-FR"/>
        </w:rPr>
        <w:t>Le manteau noir du vilain : la robe d'honneur d'une profession fière de ses valeurs</w:t>
      </w:r>
    </w:p>
    <w:p w:rsidR="000C03BA" w:rsidRPr="00DD2FF4" w:rsidRDefault="000C03BA" w:rsidP="000C03BA">
      <w:pPr>
        <w:spacing w:after="120" w:line="240" w:lineRule="auto"/>
        <w:rPr>
          <w:rFonts w:eastAsia="Times New Roman" w:cs="Times New Roman"/>
          <w:sz w:val="24"/>
          <w:szCs w:val="24"/>
          <w:lang w:val="fr-FR"/>
        </w:rPr>
      </w:pPr>
    </w:p>
    <w:p w:rsidR="000C03BA" w:rsidRPr="000C03BA" w:rsidRDefault="000E6479" w:rsidP="000C03BA">
      <w:pPr>
        <w:rPr>
          <w:b/>
          <w:bCs/>
          <w:lang w:val="fr-FR"/>
        </w:rPr>
      </w:pPr>
      <w:r>
        <w:rPr>
          <w:b/>
          <w:bCs/>
          <w:lang w:val="fr-FR"/>
        </w:rPr>
        <w:t>Résumé</w:t>
      </w:r>
    </w:p>
    <w:p w:rsidR="000C03BA" w:rsidRDefault="000C03BA" w:rsidP="000C03BA">
      <w:pPr>
        <w:rPr>
          <w:lang w:val="fr-FR"/>
        </w:rPr>
      </w:pPr>
      <w:r w:rsidRPr="00BB4A4C">
        <w:rPr>
          <w:lang w:val="fr-FR"/>
        </w:rPr>
        <w:t>L'avocat est un prestataire de services</w:t>
      </w:r>
      <w:r>
        <w:rPr>
          <w:lang w:val="fr-FR"/>
        </w:rPr>
        <w:t>, mais en même temps un</w:t>
      </w:r>
      <w:r w:rsidRPr="00BB4A4C">
        <w:rPr>
          <w:lang w:val="fr-FR"/>
        </w:rPr>
        <w:t xml:space="preserve"> </w:t>
      </w:r>
      <w:r>
        <w:rPr>
          <w:lang w:val="fr-FR"/>
        </w:rPr>
        <w:t>agent</w:t>
      </w:r>
      <w:r w:rsidRPr="00BB4A4C">
        <w:rPr>
          <w:lang w:val="fr-FR"/>
        </w:rPr>
        <w:t xml:space="preserve"> de l'administration de la justice</w:t>
      </w:r>
      <w:r>
        <w:rPr>
          <w:lang w:val="fr-FR"/>
        </w:rPr>
        <w:t xml:space="preserve"> au même titre que les magistrats</w:t>
      </w:r>
      <w:r w:rsidRPr="00BB4A4C">
        <w:rPr>
          <w:lang w:val="fr-FR"/>
        </w:rPr>
        <w:t xml:space="preserve">. Il </w:t>
      </w:r>
      <w:r>
        <w:rPr>
          <w:lang w:val="fr-FR"/>
        </w:rPr>
        <w:t>remplit sa fonction d’agent de justice par le truchement de son service</w:t>
      </w:r>
      <w:r w:rsidRPr="00BB4A4C">
        <w:rPr>
          <w:lang w:val="fr-FR"/>
        </w:rPr>
        <w:t>.</w:t>
      </w:r>
      <w:r>
        <w:rPr>
          <w:lang w:val="fr-FR"/>
        </w:rPr>
        <w:t xml:space="preserve"> </w:t>
      </w:r>
    </w:p>
    <w:p w:rsidR="000C03BA" w:rsidRDefault="000C03BA" w:rsidP="000C03BA">
      <w:pPr>
        <w:rPr>
          <w:lang w:val="fr-FR"/>
        </w:rPr>
      </w:pPr>
      <w:r>
        <w:rPr>
          <w:lang w:val="fr-FR"/>
        </w:rPr>
        <w:t>L</w:t>
      </w:r>
      <w:r w:rsidRPr="00BB4A4C">
        <w:rPr>
          <w:lang w:val="fr-FR"/>
        </w:rPr>
        <w:t xml:space="preserve">es valeurs fondamentales </w:t>
      </w:r>
      <w:r>
        <w:rPr>
          <w:lang w:val="fr-FR"/>
        </w:rPr>
        <w:t xml:space="preserve">de notre profession </w:t>
      </w:r>
      <w:r w:rsidRPr="00BB4A4C">
        <w:rPr>
          <w:lang w:val="fr-FR"/>
        </w:rPr>
        <w:t xml:space="preserve">sont indissociables de la qualité de </w:t>
      </w:r>
      <w:r>
        <w:rPr>
          <w:lang w:val="fr-FR"/>
        </w:rPr>
        <w:t>nos prestations, à moins de nous r</w:t>
      </w:r>
      <w:r w:rsidR="00174A49">
        <w:rPr>
          <w:lang w:val="fr-FR"/>
        </w:rPr>
        <w:t>é</w:t>
      </w:r>
      <w:r>
        <w:rPr>
          <w:lang w:val="fr-FR"/>
        </w:rPr>
        <w:t>duire à de simples prestataires de services au risque de rompre le contrat social qui nous accorde le monopole légal. Éthique et qualité sont les deux faces de la même médaille. Mais la</w:t>
      </w:r>
      <w:r w:rsidRPr="00BB4A4C">
        <w:rPr>
          <w:lang w:val="fr-FR"/>
        </w:rPr>
        <w:t xml:space="preserve"> protection des valeurs fondamentales rend nécessaire de restreindre la libre prestation de </w:t>
      </w:r>
      <w:r>
        <w:rPr>
          <w:lang w:val="fr-FR"/>
        </w:rPr>
        <w:t xml:space="preserve">nos </w:t>
      </w:r>
      <w:r w:rsidRPr="00BB4A4C">
        <w:rPr>
          <w:lang w:val="fr-FR"/>
        </w:rPr>
        <w:t xml:space="preserve">services au moyen de </w:t>
      </w:r>
      <w:r>
        <w:rPr>
          <w:lang w:val="fr-FR"/>
        </w:rPr>
        <w:t>la déontologie</w:t>
      </w:r>
      <w:r w:rsidRPr="00BB4A4C">
        <w:rPr>
          <w:lang w:val="fr-FR"/>
        </w:rPr>
        <w:t xml:space="preserve"> afin de r</w:t>
      </w:r>
      <w:r>
        <w:rPr>
          <w:lang w:val="fr-FR"/>
        </w:rPr>
        <w:t>épondre à notre vocation d’agents</w:t>
      </w:r>
      <w:r w:rsidRPr="00BB4A4C">
        <w:rPr>
          <w:lang w:val="fr-FR"/>
        </w:rPr>
        <w:t xml:space="preserve"> </w:t>
      </w:r>
      <w:r>
        <w:rPr>
          <w:lang w:val="fr-FR"/>
        </w:rPr>
        <w:t>contribuant à</w:t>
      </w:r>
      <w:r w:rsidRPr="00BB4A4C">
        <w:rPr>
          <w:lang w:val="fr-FR"/>
        </w:rPr>
        <w:t xml:space="preserve"> l'administration de la justice</w:t>
      </w:r>
      <w:r>
        <w:rPr>
          <w:lang w:val="fr-FR"/>
        </w:rPr>
        <w:t>.</w:t>
      </w:r>
    </w:p>
    <w:p w:rsidR="000C03BA" w:rsidRPr="00BB4A4C" w:rsidRDefault="000C03BA" w:rsidP="000C03BA">
      <w:pPr>
        <w:rPr>
          <w:lang w:val="fr-FR"/>
        </w:rPr>
      </w:pPr>
      <w:r w:rsidRPr="00BB4A4C">
        <w:rPr>
          <w:lang w:val="fr-FR"/>
        </w:rPr>
        <w:t xml:space="preserve">L'histoire </w:t>
      </w:r>
      <w:r>
        <w:rPr>
          <w:lang w:val="fr-FR"/>
        </w:rPr>
        <w:t>semble suggérer</w:t>
      </w:r>
      <w:r w:rsidRPr="00BB4A4C">
        <w:rPr>
          <w:lang w:val="fr-FR"/>
        </w:rPr>
        <w:t xml:space="preserve"> que </w:t>
      </w:r>
      <w:r>
        <w:rPr>
          <w:lang w:val="fr-FR"/>
        </w:rPr>
        <w:t xml:space="preserve">l’autorégulation de la profession est une condition sine qua non pour le respect de la déontologie et </w:t>
      </w:r>
      <w:r w:rsidRPr="00BB4A4C">
        <w:rPr>
          <w:lang w:val="fr-FR"/>
        </w:rPr>
        <w:t>l'indépendance de</w:t>
      </w:r>
      <w:r>
        <w:rPr>
          <w:lang w:val="fr-FR"/>
        </w:rPr>
        <w:t xml:space="preserve"> l’avocature. En même temps, l’État de droit </w:t>
      </w:r>
      <w:r w:rsidRPr="00BB4A4C">
        <w:rPr>
          <w:lang w:val="fr-FR"/>
        </w:rPr>
        <w:t xml:space="preserve">est étroitement lié à la liberté </w:t>
      </w:r>
      <w:r>
        <w:rPr>
          <w:lang w:val="fr-FR"/>
        </w:rPr>
        <w:t xml:space="preserve">et l’indépendance </w:t>
      </w:r>
      <w:r w:rsidRPr="00BB4A4C">
        <w:rPr>
          <w:lang w:val="fr-FR"/>
        </w:rPr>
        <w:t>de l</w:t>
      </w:r>
      <w:r>
        <w:rPr>
          <w:lang w:val="fr-FR"/>
        </w:rPr>
        <w:t>’</w:t>
      </w:r>
      <w:r w:rsidRPr="00BB4A4C">
        <w:rPr>
          <w:lang w:val="fr-FR"/>
        </w:rPr>
        <w:t>a</w:t>
      </w:r>
      <w:r>
        <w:rPr>
          <w:lang w:val="fr-FR"/>
        </w:rPr>
        <w:t>vocature</w:t>
      </w:r>
      <w:r w:rsidRPr="00BB4A4C">
        <w:rPr>
          <w:lang w:val="fr-FR"/>
        </w:rPr>
        <w:t>.</w:t>
      </w:r>
      <w:r>
        <w:rPr>
          <w:lang w:val="fr-FR"/>
        </w:rPr>
        <w:t xml:space="preserve"> </w:t>
      </w:r>
    </w:p>
    <w:p w:rsidR="000C03BA" w:rsidRDefault="000C03BA" w:rsidP="000C03BA">
      <w:pPr>
        <w:rPr>
          <w:lang w:val="fr-FR"/>
        </w:rPr>
      </w:pPr>
      <w:r>
        <w:rPr>
          <w:lang w:val="fr-FR"/>
        </w:rPr>
        <w:t xml:space="preserve">La bonne administration de la justice, </w:t>
      </w:r>
      <w:r w:rsidR="00CD2506">
        <w:rPr>
          <w:lang w:val="fr-FR"/>
        </w:rPr>
        <w:t>demande</w:t>
      </w:r>
      <w:r>
        <w:rPr>
          <w:lang w:val="fr-FR"/>
        </w:rPr>
        <w:t>-</w:t>
      </w:r>
      <w:r w:rsidR="00CD2506">
        <w:rPr>
          <w:lang w:val="fr-FR"/>
        </w:rPr>
        <w:t>t-</w:t>
      </w:r>
      <w:r>
        <w:rPr>
          <w:lang w:val="fr-FR"/>
        </w:rPr>
        <w:t>elle une tutelle de l’État ou tout au contraire une indépendance des avocats pour qu’ils puissent remplir leur fonction d’agents de justice obéissant à un impératif déontologique, garant de la qualité de leur</w:t>
      </w:r>
      <w:r w:rsidR="00CD2506">
        <w:rPr>
          <w:lang w:val="fr-FR"/>
        </w:rPr>
        <w:t xml:space="preserve">s </w:t>
      </w:r>
      <w:r>
        <w:rPr>
          <w:lang w:val="fr-FR"/>
        </w:rPr>
        <w:t>services ? Nous allons voir que l’histoire prussienne et allemande en fut un vrai laboratoire et que l’histoire semble avoir tranché.</w:t>
      </w:r>
      <w:r w:rsidRPr="000C03BA">
        <w:rPr>
          <w:lang w:val="fr-FR"/>
        </w:rPr>
        <w:t xml:space="preserve"> </w:t>
      </w:r>
      <w:r w:rsidRPr="00086825">
        <w:rPr>
          <w:lang w:val="fr-FR"/>
        </w:rPr>
        <w:t xml:space="preserve">L'histoire des réformes judiciaires en Prusse et Allemagne démontre l'importance de la libre avocature pour le bon fonctionnement de la justice. </w:t>
      </w:r>
      <w:r w:rsidRPr="002D538B">
        <w:rPr>
          <w:lang w:val="fr-FR"/>
        </w:rPr>
        <w:t>Au vu de cette expérience historique, un constat s’</w:t>
      </w:r>
      <w:r>
        <w:rPr>
          <w:lang w:val="fr-FR"/>
        </w:rPr>
        <w:t>i</w:t>
      </w:r>
      <w:r w:rsidRPr="002D538B">
        <w:rPr>
          <w:lang w:val="fr-FR"/>
        </w:rPr>
        <w:t>mpose, à savoir que l'auto</w:t>
      </w:r>
      <w:r w:rsidR="00CD2506">
        <w:rPr>
          <w:lang w:val="fr-FR"/>
        </w:rPr>
        <w:t>régulation</w:t>
      </w:r>
      <w:r w:rsidRPr="002D538B">
        <w:rPr>
          <w:lang w:val="fr-FR"/>
        </w:rPr>
        <w:t xml:space="preserve"> de l’avocatur</w:t>
      </w:r>
      <w:r>
        <w:rPr>
          <w:lang w:val="fr-FR"/>
        </w:rPr>
        <w:t>e</w:t>
      </w:r>
      <w:r w:rsidRPr="002D538B">
        <w:rPr>
          <w:lang w:val="fr-FR"/>
        </w:rPr>
        <w:t xml:space="preserve"> est un instrument nécessaire pour préserver les valeurs fondamentales de notre profession. </w:t>
      </w:r>
      <w:r w:rsidRPr="00086825">
        <w:rPr>
          <w:lang w:val="fr-FR"/>
        </w:rPr>
        <w:t>L’histoire de la profession pendant le 3</w:t>
      </w:r>
      <w:r w:rsidRPr="00086825">
        <w:rPr>
          <w:vertAlign w:val="superscript"/>
          <w:lang w:val="fr-FR"/>
        </w:rPr>
        <w:t>ème</w:t>
      </w:r>
      <w:r w:rsidRPr="00086825">
        <w:rPr>
          <w:lang w:val="fr-FR"/>
        </w:rPr>
        <w:t xml:space="preserve"> Reich et en Allemagne de l’Est </w:t>
      </w:r>
      <w:r>
        <w:rPr>
          <w:lang w:val="fr-FR"/>
        </w:rPr>
        <w:t xml:space="preserve">du temps </w:t>
      </w:r>
      <w:r w:rsidRPr="00086825">
        <w:rPr>
          <w:lang w:val="fr-FR"/>
        </w:rPr>
        <w:t xml:space="preserve">du régime communiste a fourni plus de preuves qu’il n’en faut de l’importance d’une avocature libre et indépendante dans un </w:t>
      </w:r>
      <w:r>
        <w:rPr>
          <w:lang w:val="fr-FR"/>
        </w:rPr>
        <w:t>É</w:t>
      </w:r>
      <w:r w:rsidRPr="00086825">
        <w:rPr>
          <w:lang w:val="fr-FR"/>
        </w:rPr>
        <w:t xml:space="preserve">tat de droit </w:t>
      </w:r>
      <w:r>
        <w:rPr>
          <w:lang w:val="fr-FR"/>
        </w:rPr>
        <w:t>qui se doit d’administrer une justice légitime, équitable et de qualité</w:t>
      </w:r>
      <w:r w:rsidRPr="00086825">
        <w:rPr>
          <w:lang w:val="fr-FR"/>
        </w:rPr>
        <w:t>.</w:t>
      </w:r>
    </w:p>
    <w:p w:rsidR="000C03BA" w:rsidRPr="000C03BA" w:rsidRDefault="000C03BA" w:rsidP="000C03BA">
      <w:pPr>
        <w:rPr>
          <w:lang w:val="fr-FR"/>
        </w:rPr>
      </w:pPr>
      <w:r w:rsidRPr="00BB4A4C">
        <w:rPr>
          <w:lang w:val="fr-FR"/>
        </w:rPr>
        <w:lastRenderedPageBreak/>
        <w:t xml:space="preserve">L'indépendance de la profession et le droit inconditionnel, </w:t>
      </w:r>
      <w:r>
        <w:rPr>
          <w:lang w:val="fr-FR"/>
        </w:rPr>
        <w:t>en même temps</w:t>
      </w:r>
      <w:r w:rsidRPr="00BB4A4C">
        <w:rPr>
          <w:lang w:val="fr-FR"/>
        </w:rPr>
        <w:t xml:space="preserve"> l'obligation de respecter les valeurs fondamentales de la profession d'avocat, </w:t>
      </w:r>
      <w:r>
        <w:rPr>
          <w:lang w:val="fr-FR"/>
        </w:rPr>
        <w:t>furent</w:t>
      </w:r>
      <w:r w:rsidRPr="00BB4A4C">
        <w:rPr>
          <w:lang w:val="fr-FR"/>
        </w:rPr>
        <w:t xml:space="preserve"> </w:t>
      </w:r>
      <w:r>
        <w:rPr>
          <w:lang w:val="fr-FR"/>
        </w:rPr>
        <w:t xml:space="preserve">reconnus </w:t>
      </w:r>
      <w:r w:rsidRPr="00BB4A4C">
        <w:rPr>
          <w:lang w:val="fr-FR"/>
        </w:rPr>
        <w:t xml:space="preserve">par </w:t>
      </w:r>
      <w:r>
        <w:rPr>
          <w:lang w:val="fr-FR"/>
        </w:rPr>
        <w:t>plusieurs</w:t>
      </w:r>
      <w:r w:rsidRPr="00BB4A4C">
        <w:rPr>
          <w:lang w:val="fr-FR"/>
        </w:rPr>
        <w:t xml:space="preserve"> décisions de la Cour </w:t>
      </w:r>
      <w:r>
        <w:rPr>
          <w:lang w:val="fr-FR"/>
        </w:rPr>
        <w:t>C</w:t>
      </w:r>
      <w:r w:rsidRPr="00BB4A4C">
        <w:rPr>
          <w:lang w:val="fr-FR"/>
        </w:rPr>
        <w:t>onstitutionnelle allemande</w:t>
      </w:r>
      <w:r>
        <w:rPr>
          <w:lang w:val="fr-FR"/>
        </w:rPr>
        <w:t xml:space="preserve"> </w:t>
      </w:r>
      <w:r w:rsidRPr="00BB4A4C">
        <w:rPr>
          <w:lang w:val="fr-FR"/>
        </w:rPr>
        <w:t xml:space="preserve">et par la Cour </w:t>
      </w:r>
      <w:r>
        <w:rPr>
          <w:lang w:val="fr-FR"/>
        </w:rPr>
        <w:t>E</w:t>
      </w:r>
      <w:r w:rsidRPr="00BB4A4C">
        <w:rPr>
          <w:lang w:val="fr-FR"/>
        </w:rPr>
        <w:t xml:space="preserve">uropéenne de </w:t>
      </w:r>
      <w:r>
        <w:rPr>
          <w:lang w:val="fr-FR"/>
        </w:rPr>
        <w:t>J</w:t>
      </w:r>
      <w:r w:rsidRPr="00BB4A4C">
        <w:rPr>
          <w:lang w:val="fr-FR"/>
        </w:rPr>
        <w:t>ustice dans l'arrêt Wouters.</w:t>
      </w:r>
      <w:r>
        <w:rPr>
          <w:lang w:val="fr-FR"/>
        </w:rPr>
        <w:t xml:space="preserve"> Le serment de l’avocat nous oblige à respecter la déontologie et </w:t>
      </w:r>
      <w:proofErr w:type="spellStart"/>
      <w:proofErr w:type="gramStart"/>
      <w:r>
        <w:rPr>
          <w:lang w:val="fr-FR"/>
        </w:rPr>
        <w:t>a</w:t>
      </w:r>
      <w:proofErr w:type="spellEnd"/>
      <w:proofErr w:type="gramEnd"/>
      <w:r>
        <w:rPr>
          <w:lang w:val="fr-FR"/>
        </w:rPr>
        <w:t xml:space="preserve"> défendre les valeurs démocratique</w:t>
      </w:r>
      <w:r w:rsidR="00CD2506">
        <w:rPr>
          <w:lang w:val="fr-FR"/>
        </w:rPr>
        <w:t>s</w:t>
      </w:r>
      <w:r>
        <w:rPr>
          <w:lang w:val="fr-FR"/>
        </w:rPr>
        <w:t xml:space="preserve"> de la constitution. </w:t>
      </w:r>
    </w:p>
    <w:p w:rsidR="000C03BA" w:rsidRPr="000C03BA" w:rsidRDefault="000C03BA" w:rsidP="000C03BA">
      <w:pPr>
        <w:rPr>
          <w:rStyle w:val="Fett"/>
          <w:b w:val="0"/>
          <w:bCs w:val="0"/>
          <w:lang w:val="fr-FR"/>
        </w:rPr>
      </w:pPr>
      <w:r w:rsidRPr="005203BA">
        <w:rPr>
          <w:rStyle w:val="Hervorhebung"/>
          <w:lang w:val="fr-FR"/>
        </w:rPr>
        <w:t>Winston Churchill disait en 1947</w:t>
      </w:r>
      <w:r>
        <w:rPr>
          <w:rStyle w:val="Hervorhebung"/>
          <w:lang w:val="fr-FR"/>
        </w:rPr>
        <w:t> :</w:t>
      </w:r>
      <w:r w:rsidRPr="005203BA">
        <w:rPr>
          <w:rStyle w:val="Hervorhebung"/>
          <w:lang w:val="fr-FR"/>
        </w:rPr>
        <w:t xml:space="preserve"> </w:t>
      </w:r>
      <w:r>
        <w:rPr>
          <w:rStyle w:val="Hervorhebung"/>
          <w:lang w:val="fr-FR"/>
        </w:rPr>
        <w:t>« </w:t>
      </w:r>
      <w:r w:rsidRPr="003337BD">
        <w:rPr>
          <w:rStyle w:val="Hervorhebung"/>
          <w:lang w:val="fr-FR"/>
        </w:rPr>
        <w:t xml:space="preserve">Beaucoup de formes de gouvernement furent essayées, et le seront, dans ce monde de péché et de malheur. Personne ne prétend que la démocratie est parfaite ou omnisciente. En effet, </w:t>
      </w:r>
      <w:r w:rsidRPr="000C03BA">
        <w:rPr>
          <w:rStyle w:val="Fett"/>
          <w:b w:val="0"/>
          <w:bCs w:val="0"/>
          <w:i/>
          <w:iCs/>
          <w:lang w:val="fr-FR"/>
        </w:rPr>
        <w:t>on put dire qu'elle était la pire forme de gouvernement à l'exception de toutes celles qui furent essayées au fil du temps.</w:t>
      </w:r>
      <w:r w:rsidRPr="000C03BA">
        <w:rPr>
          <w:rStyle w:val="Fett"/>
          <w:b w:val="0"/>
          <w:bCs w:val="0"/>
          <w:lang w:val="fr-FR"/>
        </w:rPr>
        <w:t> » Il en est de même avec l’autorégulation de notre profession.</w:t>
      </w:r>
    </w:p>
    <w:p w:rsidR="000C03BA" w:rsidRDefault="000C03BA" w:rsidP="000C03BA">
      <w:pPr>
        <w:spacing w:after="120" w:line="240" w:lineRule="auto"/>
        <w:rPr>
          <w:rFonts w:eastAsia="Times New Roman" w:cs="Times New Roman"/>
          <w:sz w:val="24"/>
          <w:szCs w:val="24"/>
          <w:lang w:val="fr-FR"/>
        </w:rPr>
      </w:pPr>
    </w:p>
    <w:p w:rsidR="000C03BA" w:rsidRPr="003005BB" w:rsidRDefault="000C03BA" w:rsidP="000C03BA">
      <w:pPr>
        <w:spacing w:after="120" w:line="240" w:lineRule="auto"/>
        <w:rPr>
          <w:rFonts w:eastAsia="Times New Roman" w:cs="Times New Roman"/>
          <w:lang w:val="fr-FR"/>
        </w:rPr>
      </w:pPr>
      <w:r w:rsidRPr="003005BB">
        <w:rPr>
          <w:rFonts w:eastAsia="Times New Roman" w:cs="Times New Roman"/>
          <w:lang w:val="fr-FR"/>
        </w:rPr>
        <w:t xml:space="preserve">Guido Imfeld, </w:t>
      </w:r>
      <w:bookmarkStart w:id="2" w:name="_Hlk21440622"/>
    </w:p>
    <w:p w:rsidR="000C03BA" w:rsidRPr="00DD2FF4" w:rsidRDefault="000C03BA" w:rsidP="000C03BA">
      <w:pPr>
        <w:spacing w:after="120" w:line="240" w:lineRule="auto"/>
        <w:rPr>
          <w:rFonts w:eastAsia="Times New Roman" w:cs="Times New Roman"/>
          <w:sz w:val="24"/>
          <w:szCs w:val="24"/>
          <w:lang w:val="fr-FR"/>
        </w:rPr>
      </w:pPr>
      <w:r w:rsidRPr="003005BB">
        <w:rPr>
          <w:rFonts w:eastAsia="Times New Roman" w:cs="Times New Roman"/>
          <w:lang w:val="fr-FR"/>
        </w:rPr>
        <w:t>Vice-bâtonnier d</w:t>
      </w:r>
      <w:r w:rsidR="00174A49">
        <w:rPr>
          <w:rFonts w:eastAsia="Times New Roman" w:cs="Times New Roman"/>
          <w:lang w:val="fr-FR"/>
        </w:rPr>
        <w:t>u barreau d</w:t>
      </w:r>
      <w:r w:rsidRPr="003005BB">
        <w:rPr>
          <w:rFonts w:eastAsia="Times New Roman" w:cs="Times New Roman"/>
          <w:lang w:val="fr-FR"/>
        </w:rPr>
        <w:t>e Cologne</w:t>
      </w:r>
      <w:bookmarkEnd w:id="2"/>
      <w:r w:rsidR="00174A49">
        <w:rPr>
          <w:rFonts w:eastAsia="Times New Roman" w:cs="Times New Roman"/>
          <w:lang w:val="fr-FR"/>
        </w:rPr>
        <w:t xml:space="preserve"> (</w:t>
      </w:r>
      <w:proofErr w:type="spellStart"/>
      <w:r w:rsidR="00174A49">
        <w:rPr>
          <w:rFonts w:eastAsia="Times New Roman" w:cs="Times New Roman"/>
          <w:lang w:val="fr-FR"/>
        </w:rPr>
        <w:t>Rechtsanwaltskammer</w:t>
      </w:r>
      <w:proofErr w:type="spellEnd"/>
      <w:r w:rsidR="00174A49">
        <w:rPr>
          <w:rFonts w:eastAsia="Times New Roman" w:cs="Times New Roman"/>
          <w:lang w:val="fr-FR"/>
        </w:rPr>
        <w:t xml:space="preserve"> </w:t>
      </w:r>
      <w:proofErr w:type="spellStart"/>
      <w:r w:rsidR="00174A49">
        <w:rPr>
          <w:rFonts w:eastAsia="Times New Roman" w:cs="Times New Roman"/>
          <w:lang w:val="fr-FR"/>
        </w:rPr>
        <w:t>Köln</w:t>
      </w:r>
      <w:proofErr w:type="spellEnd"/>
      <w:r w:rsidR="00174A49">
        <w:rPr>
          <w:rFonts w:eastAsia="Times New Roman" w:cs="Times New Roman"/>
          <w:lang w:val="fr-FR"/>
        </w:rPr>
        <w:t>)</w:t>
      </w:r>
      <w:r w:rsidRPr="003005BB">
        <w:rPr>
          <w:rFonts w:eastAsia="Times New Roman" w:cs="Times New Roman"/>
          <w:lang w:val="fr-FR"/>
        </w:rPr>
        <w:t xml:space="preserve">, avocat associé chez Daniel Hagelskamp &amp; </w:t>
      </w:r>
      <w:proofErr w:type="spellStart"/>
      <w:r w:rsidRPr="003005BB">
        <w:rPr>
          <w:rFonts w:eastAsia="Times New Roman" w:cs="Times New Roman"/>
          <w:lang w:val="fr-FR"/>
        </w:rPr>
        <w:t>Kollegen</w:t>
      </w:r>
      <w:proofErr w:type="spellEnd"/>
      <w:r>
        <w:rPr>
          <w:rFonts w:eastAsia="Times New Roman" w:cs="Times New Roman"/>
          <w:lang w:val="fr-FR"/>
        </w:rPr>
        <w:t xml:space="preserve"> (Aix-la-Chapelle/Liège)</w:t>
      </w:r>
    </w:p>
    <w:p w:rsidR="00D7193C" w:rsidRPr="000C03BA" w:rsidRDefault="00D7193C">
      <w:pPr>
        <w:rPr>
          <w:lang w:val="fr-FR"/>
        </w:rPr>
      </w:pPr>
    </w:p>
    <w:sectPr w:rsidR="00D7193C" w:rsidRPr="000C0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A3" w:rsidRDefault="00A73AA3" w:rsidP="000C03BA">
      <w:pPr>
        <w:spacing w:after="0" w:line="240" w:lineRule="auto"/>
      </w:pPr>
      <w:r>
        <w:separator/>
      </w:r>
    </w:p>
  </w:endnote>
  <w:endnote w:type="continuationSeparator" w:id="0">
    <w:p w:rsidR="00A73AA3" w:rsidRDefault="00A73AA3" w:rsidP="000C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A3" w:rsidRDefault="00A73AA3" w:rsidP="000C03BA">
      <w:pPr>
        <w:spacing w:after="0" w:line="240" w:lineRule="auto"/>
      </w:pPr>
      <w:r>
        <w:separator/>
      </w:r>
    </w:p>
  </w:footnote>
  <w:footnote w:type="continuationSeparator" w:id="0">
    <w:p w:rsidR="00A73AA3" w:rsidRDefault="00A73AA3" w:rsidP="000C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40D"/>
    <w:multiLevelType w:val="hybridMultilevel"/>
    <w:tmpl w:val="764A6228"/>
    <w:lvl w:ilvl="0" w:tplc="02502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A0810DF-4FFD-42ED-AA6D-815EB7C1EE93}"/>
    <w:docVar w:name="dgnword-eventsink" w:val="996063728"/>
  </w:docVars>
  <w:rsids>
    <w:rsidRoot w:val="000F3F1E"/>
    <w:rsid w:val="000C03BA"/>
    <w:rsid w:val="000E6479"/>
    <w:rsid w:val="000F3F1E"/>
    <w:rsid w:val="00174A49"/>
    <w:rsid w:val="00432D15"/>
    <w:rsid w:val="00A73AA3"/>
    <w:rsid w:val="00CB08AA"/>
    <w:rsid w:val="00CD2506"/>
    <w:rsid w:val="00D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D2F1"/>
  <w15:chartTrackingRefBased/>
  <w15:docId w15:val="{43B097E5-DFAD-4BBC-9CBD-2F1CBAE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03BA"/>
    <w:pPr>
      <w:spacing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link w:val="berschrift1Zchn"/>
    <w:uiPriority w:val="9"/>
    <w:qFormat/>
    <w:rsid w:val="000C03BA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03B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03B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03BA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03BA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0C03BA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0C03BA"/>
    <w:rPr>
      <w:i/>
      <w:iCs/>
    </w:rPr>
  </w:style>
  <w:style w:type="paragraph" w:styleId="Listenabsatz">
    <w:name w:val="List Paragraph"/>
    <w:basedOn w:val="Standard"/>
    <w:uiPriority w:val="34"/>
    <w:qFormat/>
    <w:rsid w:val="000C03BA"/>
    <w:pPr>
      <w:spacing w:line="256" w:lineRule="auto"/>
      <w:ind w:left="720"/>
      <w:contextualSpacing/>
      <w:jc w:val="left"/>
    </w:pPr>
    <w:rPr>
      <w:rFonts w:asciiTheme="minorHAnsi" w:hAnsiTheme="minorHAnsi"/>
      <w:lang w:val="fr-FR"/>
    </w:rPr>
  </w:style>
  <w:style w:type="character" w:styleId="Fett">
    <w:name w:val="Strong"/>
    <w:basedOn w:val="Absatz-Standardschriftart"/>
    <w:uiPriority w:val="22"/>
    <w:qFormat/>
    <w:rsid w:val="000C03B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506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50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Imfeld</dc:creator>
  <cp:keywords/>
  <dc:description/>
  <cp:lastModifiedBy>Guido Imfeld</cp:lastModifiedBy>
  <cp:revision>3</cp:revision>
  <dcterms:created xsi:type="dcterms:W3CDTF">2019-10-21T09:05:00Z</dcterms:created>
  <dcterms:modified xsi:type="dcterms:W3CDTF">2019-10-21T09:53:00Z</dcterms:modified>
</cp:coreProperties>
</file>